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宋体" w:eastAsia="宋体"/>
          <w:b/>
          <w:bCs/>
          <w:sz w:val="30"/>
          <w:szCs w:val="30"/>
          <w:u w:val="none"/>
          <w:lang w:val="en-US" w:eastAsia="zh-CN"/>
        </w:rPr>
      </w:pPr>
      <w:r>
        <w:rPr>
          <w:rFonts w:hint="eastAsia" w:ascii="宋体"/>
          <w:b/>
          <w:bCs/>
          <w:sz w:val="30"/>
          <w:szCs w:val="30"/>
          <w:u w:val="none"/>
          <w:lang w:val="en-US" w:eastAsia="zh-CN"/>
        </w:rPr>
        <w:t>河南分行律师库资格入库项目变更公告02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一、项目基本情况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1、原公告的项目编号：</w:t>
      </w:r>
      <w:r>
        <w:rPr>
          <w:rFonts w:hint="eastAsia" w:hAnsi="宋体"/>
          <w:color w:val="auto"/>
          <w:szCs w:val="21"/>
          <w:highlight w:val="none"/>
          <w:lang w:val="en-US" w:eastAsia="zh-CN"/>
        </w:rPr>
        <w:t>ABC-HN-2022020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2、原公告的项目名称：河南分行律师库资格入库项目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3、首次公告日期及发布媒介：202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年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11</w:t>
      </w:r>
      <w:r>
        <w:rPr>
          <w:rFonts w:hint="eastAsia" w:ascii="宋体" w:hAnsi="宋体" w:eastAsia="宋体" w:cs="宋体"/>
          <w:sz w:val="21"/>
          <w:szCs w:val="21"/>
        </w:rPr>
        <w:t>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14</w:t>
      </w:r>
      <w:r>
        <w:rPr>
          <w:rFonts w:hint="eastAsia" w:ascii="宋体" w:hAnsi="宋体" w:eastAsia="宋体" w:cs="宋体"/>
          <w:sz w:val="21"/>
          <w:szCs w:val="21"/>
        </w:rPr>
        <w:t>日</w:t>
      </w:r>
      <w:r>
        <w:rPr>
          <w:rFonts w:hint="eastAsia" w:ascii="宋体" w:hAnsi="宋体" w:cs="宋体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《中国招标投标公共服务平台》、《河南省电子招标投标公共服务平台》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4、原投标截止时间(投标文件递交截止时间)：</w:t>
      </w:r>
      <w:r>
        <w:rPr>
          <w:rFonts w:hint="eastAsia" w:ascii="宋体" w:hAnsi="宋体" w:cs="宋体"/>
          <w:color w:val="auto"/>
          <w:szCs w:val="21"/>
          <w:highlight w:val="none"/>
        </w:rPr>
        <w:t>202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2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12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7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下午17</w:t>
      </w:r>
      <w:r>
        <w:rPr>
          <w:rFonts w:hint="eastAsia" w:ascii="宋体" w:hAnsi="宋体" w:cs="宋体"/>
          <w:color w:val="auto"/>
          <w:szCs w:val="21"/>
          <w:highlight w:val="none"/>
        </w:rPr>
        <w:t>：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00</w:t>
      </w:r>
      <w:r>
        <w:rPr>
          <w:rFonts w:hint="eastAsia" w:ascii="宋体" w:hAnsi="宋体" w:cs="宋体"/>
          <w:color w:val="auto"/>
          <w:szCs w:val="21"/>
          <w:highlight w:val="none"/>
        </w:rPr>
        <w:t>分</w:t>
      </w:r>
      <w:r>
        <w:rPr>
          <w:rFonts w:hint="eastAsia" w:ascii="宋体" w:hAnsi="宋体" w:cs="宋体"/>
          <w:color w:val="000000"/>
          <w:sz w:val="21"/>
          <w:szCs w:val="21"/>
          <w:highlight w:val="none"/>
        </w:rPr>
        <w:t>（北京时间）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二、更正信息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（一）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更正事项：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√招标公告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rightChars="0" w:firstLine="422" w:firstLineChars="200"/>
        <w:textAlignment w:val="auto"/>
        <w:outlineLvl w:val="9"/>
        <w:rPr>
          <w:rFonts w:hint="eastAsia" w:ascii="宋体" w:hAnsi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原文件</w:t>
      </w:r>
      <w:r>
        <w:rPr>
          <w:rFonts w:hint="eastAsia" w:ascii="宋体" w:hAnsi="宋体" w:cs="宋体"/>
          <w:b/>
          <w:bCs/>
          <w:sz w:val="21"/>
          <w:szCs w:val="21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u w:val="none"/>
          <w:lang w:val="en-US" w:eastAsia="zh-CN"/>
        </w:rPr>
        <w:t>4.2获取招标文件</w:t>
      </w:r>
    </w:p>
    <w:p>
      <w:pPr>
        <w:keepNext w:val="0"/>
        <w:keepLines w:val="0"/>
        <w:pageBreakBefore w:val="0"/>
        <w:widowControl w:val="0"/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u w:val="none"/>
          <w:lang w:val="en-US" w:eastAsia="zh-CN"/>
        </w:rPr>
        <w:t>4.2.1获取文件时间： 2022年11月14日至2022年11月25日下午17时（北京时间，下同）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五、投标文件的递交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5.1递交时间：2022年12月7日09:00-17：00时（北京时间）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六、开标时间及地点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6.1开标时间：1包件2022年12月8日上午10:00时 ， 2-18包件2022年12月8日下午15:00时（北京时间）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变更为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：</w:t>
      </w:r>
    </w:p>
    <w:p>
      <w:pPr>
        <w:spacing w:beforeLines="0" w:afterLines="0" w:line="360" w:lineRule="auto"/>
        <w:ind w:left="0" w:leftChars="0" w:firstLine="420" w:firstLineChars="200"/>
        <w:jc w:val="both"/>
        <w:outlineLvl w:val="9"/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  <w:t>4.2获取招标文件</w:t>
      </w:r>
    </w:p>
    <w:p>
      <w:pPr>
        <w:spacing w:beforeLines="0" w:afterLines="0" w:line="360" w:lineRule="auto"/>
        <w:ind w:left="0" w:leftChars="0" w:firstLine="420" w:firstLineChars="200"/>
        <w:jc w:val="both"/>
        <w:outlineLvl w:val="9"/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  <w:t>4.2.1获取文件时间： 2022年11月14日至2022年</w:t>
      </w:r>
      <w:r>
        <w:rPr>
          <w:rFonts w:hint="eastAsia" w:ascii="Calibri" w:hAnsi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  <w:t>12</w:t>
      </w:r>
      <w:r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  <w:t>月2日下午17时（北京时间，下同）</w:t>
      </w:r>
    </w:p>
    <w:p>
      <w:pPr>
        <w:spacing w:beforeLines="0" w:afterLines="0" w:line="360" w:lineRule="auto"/>
        <w:ind w:left="0" w:leftChars="0" w:firstLine="420" w:firstLineChars="200"/>
        <w:jc w:val="both"/>
        <w:outlineLvl w:val="9"/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  <w:t>五、投标文件的递交</w:t>
      </w:r>
    </w:p>
    <w:p>
      <w:pPr>
        <w:spacing w:beforeLines="0" w:afterLines="0" w:line="360" w:lineRule="auto"/>
        <w:ind w:left="0" w:leftChars="0" w:firstLine="420" w:firstLineChars="200"/>
        <w:jc w:val="both"/>
        <w:outlineLvl w:val="9"/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  <w:t>5.1递交时间：2022年12月</w:t>
      </w:r>
      <w:r>
        <w:rPr>
          <w:rFonts w:hint="eastAsia" w:ascii="Calibri" w:hAnsi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  <w:t>14</w:t>
      </w:r>
      <w:r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  <w:t>日09:00-17：00时（北京时间）</w:t>
      </w:r>
    </w:p>
    <w:p>
      <w:pPr>
        <w:spacing w:beforeLines="0" w:afterLines="0" w:line="360" w:lineRule="auto"/>
        <w:ind w:left="0" w:leftChars="0" w:firstLine="420" w:firstLineChars="200"/>
        <w:jc w:val="both"/>
        <w:outlineLvl w:val="9"/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  <w:t>六、开标时间及地点</w:t>
      </w:r>
    </w:p>
    <w:p>
      <w:pPr>
        <w:spacing w:beforeLines="0" w:afterLines="0" w:line="360" w:lineRule="auto"/>
        <w:ind w:left="0" w:leftChars="0" w:firstLine="420" w:firstLineChars="200"/>
        <w:jc w:val="both"/>
        <w:outlineLvl w:val="9"/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  <w:t>6.1开标时间：1包件2022年12月</w:t>
      </w:r>
      <w:r>
        <w:rPr>
          <w:rFonts w:hint="eastAsia" w:ascii="Calibri" w:hAnsi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  <w:t>15</w:t>
      </w:r>
      <w:r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  <w:t>日上午10:00时 ， 2-18包件2022年12月</w:t>
      </w:r>
      <w:r>
        <w:rPr>
          <w:rFonts w:hint="eastAsia" w:ascii="Calibri" w:hAnsi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  <w:t>15</w:t>
      </w:r>
      <w:r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  <w:t>日下午15:00时（北京时间）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三、其他补充事宜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、联系方式</w:t>
      </w:r>
    </w:p>
    <w:p>
      <w:pPr>
        <w:pStyle w:val="20"/>
        <w:snapToGrid w:val="0"/>
        <w:spacing w:line="360" w:lineRule="auto"/>
        <w:ind w:firstLine="420" w:firstLineChars="200"/>
        <w:rPr>
          <w:rFonts w:hint="eastAsia" w:hAnsi="宋体"/>
          <w:color w:val="auto"/>
          <w:sz w:val="21"/>
          <w:szCs w:val="21"/>
        </w:rPr>
      </w:pPr>
      <w:r>
        <w:rPr>
          <w:rFonts w:hint="eastAsia" w:hAnsi="宋体"/>
          <w:color w:val="auto"/>
          <w:sz w:val="21"/>
          <w:szCs w:val="21"/>
        </w:rPr>
        <w:t xml:space="preserve">招标人：中国农业银行股份有限公司河南省分行  </w:t>
      </w:r>
    </w:p>
    <w:p>
      <w:pPr>
        <w:pStyle w:val="20"/>
        <w:snapToGrid w:val="0"/>
        <w:spacing w:line="360" w:lineRule="auto"/>
        <w:ind w:firstLine="420" w:firstLineChars="200"/>
        <w:rPr>
          <w:rFonts w:hint="eastAsia" w:hAnsi="宋体"/>
          <w:color w:val="auto"/>
          <w:sz w:val="21"/>
          <w:szCs w:val="21"/>
        </w:rPr>
      </w:pPr>
      <w:r>
        <w:rPr>
          <w:rFonts w:hint="eastAsia" w:hAnsi="宋体"/>
          <w:color w:val="auto"/>
          <w:sz w:val="21"/>
          <w:szCs w:val="21"/>
        </w:rPr>
        <w:t xml:space="preserve">地  址：郑州市郑东新区商务外环路16号   </w:t>
      </w:r>
    </w:p>
    <w:p>
      <w:pPr>
        <w:pStyle w:val="20"/>
        <w:snapToGrid w:val="0"/>
        <w:spacing w:line="360" w:lineRule="auto"/>
        <w:ind w:firstLine="420" w:firstLineChars="200"/>
        <w:rPr>
          <w:rFonts w:hint="eastAsia" w:hAnsi="宋体"/>
          <w:color w:val="auto"/>
          <w:sz w:val="21"/>
          <w:szCs w:val="21"/>
        </w:rPr>
      </w:pPr>
      <w:r>
        <w:rPr>
          <w:rFonts w:hint="eastAsia" w:hAnsi="宋体"/>
          <w:color w:val="auto"/>
          <w:sz w:val="21"/>
          <w:szCs w:val="21"/>
        </w:rPr>
        <w:t xml:space="preserve">代理机构：河南省伟信招标管理咨询有限公司  </w:t>
      </w:r>
    </w:p>
    <w:p>
      <w:pPr>
        <w:pStyle w:val="20"/>
        <w:snapToGrid w:val="0"/>
        <w:spacing w:line="360" w:lineRule="auto"/>
        <w:ind w:firstLine="420" w:firstLineChars="200"/>
        <w:rPr>
          <w:rFonts w:hint="eastAsia" w:hAnsi="宋体"/>
          <w:color w:val="auto"/>
          <w:sz w:val="21"/>
          <w:szCs w:val="21"/>
        </w:rPr>
      </w:pPr>
      <w:r>
        <w:rPr>
          <w:rFonts w:hint="eastAsia" w:hAnsi="宋体"/>
          <w:color w:val="auto"/>
          <w:sz w:val="21"/>
          <w:szCs w:val="21"/>
        </w:rPr>
        <w:t>地  址：郑州市郑东新区东风南路与创业路交汇处西南角绿地中心北塔16楼</w:t>
      </w:r>
    </w:p>
    <w:p>
      <w:pPr>
        <w:pStyle w:val="20"/>
        <w:snapToGrid w:val="0"/>
        <w:spacing w:line="360" w:lineRule="auto"/>
        <w:ind w:firstLine="420" w:firstLineChars="200"/>
        <w:rPr>
          <w:rFonts w:hint="eastAsia" w:hAnsi="宋体"/>
          <w:color w:val="auto"/>
          <w:sz w:val="21"/>
          <w:szCs w:val="21"/>
        </w:rPr>
      </w:pPr>
      <w:r>
        <w:rPr>
          <w:rFonts w:hint="eastAsia" w:hAnsi="宋体"/>
          <w:color w:val="auto"/>
          <w:sz w:val="21"/>
          <w:szCs w:val="21"/>
        </w:rPr>
        <w:t>联系人：祁锐</w:t>
      </w:r>
    </w:p>
    <w:p>
      <w:pPr>
        <w:pStyle w:val="20"/>
        <w:snapToGrid w:val="0"/>
        <w:spacing w:line="360" w:lineRule="auto"/>
        <w:ind w:firstLine="420" w:firstLineChars="200"/>
        <w:rPr>
          <w:rFonts w:hint="eastAsia" w:ascii="宋体" w:hAnsi="宋体"/>
        </w:rPr>
      </w:pPr>
      <w:r>
        <w:rPr>
          <w:rFonts w:hint="eastAsia" w:hAnsi="宋体"/>
          <w:color w:val="auto"/>
          <w:sz w:val="21"/>
          <w:szCs w:val="21"/>
        </w:rPr>
        <w:t>电  话：0371-60936069</w:t>
      </w:r>
      <w:r>
        <w:rPr>
          <w:rFonts w:hint="eastAsia" w:ascii="宋体" w:hAnsi="宋体"/>
        </w:rPr>
        <w:t xml:space="preserve">        </w:t>
      </w: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发布日期：2022年11月24日</w:t>
      </w:r>
    </w:p>
    <w:p>
      <w:pPr>
        <w:spacing w:beforeLines="0" w:afterLines="0" w:line="360" w:lineRule="auto"/>
        <w:ind w:left="0" w:leftChars="0" w:firstLine="420" w:firstLineChars="200"/>
        <w:jc w:val="both"/>
        <w:outlineLvl w:val="9"/>
        <w:rPr>
          <w:rFonts w:hint="eastAsia"/>
          <w:sz w:val="21"/>
          <w:szCs w:val="21"/>
          <w:lang w:val="en-US" w:eastAsia="zh-CN"/>
        </w:rPr>
      </w:pPr>
      <w:r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制件投标文件及投标注意事项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210" w:firstLineChars="100"/>
        <w:textAlignment w:val="auto"/>
        <w:rPr>
          <w:rFonts w:hint="eastAsia" w:ascii="Times New Roman" w:hAnsi="宋体" w:cs="Times New Roman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1、律师事务所执业许可证须包含变更信息页及</w:t>
      </w:r>
      <w:r>
        <w:rPr>
          <w:rFonts w:hint="eastAsia" w:ascii="宋体" w:hAnsi="宋体" w:cs="宋体"/>
          <w:b/>
          <w:bCs/>
          <w:color w:val="FF0000"/>
          <w:sz w:val="21"/>
          <w:szCs w:val="21"/>
          <w:lang w:val="en-US" w:eastAsia="zh-CN"/>
        </w:rPr>
        <w:t>年检审核页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210" w:firstLineChars="100"/>
        <w:textAlignment w:val="auto"/>
        <w:rPr>
          <w:rFonts w:hint="eastAsia" w:ascii="Times New Roman" w:hAnsi="宋体" w:cs="Times New Roman"/>
          <w:color w:val="auto"/>
          <w:szCs w:val="21"/>
          <w:highlight w:val="none"/>
          <w:lang w:val="en-US" w:eastAsia="zh-CN"/>
        </w:rPr>
      </w:pPr>
      <w:r>
        <w:rPr>
          <w:rFonts w:hint="eastAsia" w:ascii="Times New Roman" w:hAnsi="宋体" w:cs="Times New Roman"/>
          <w:color w:val="auto"/>
          <w:szCs w:val="21"/>
          <w:highlight w:val="none"/>
          <w:lang w:val="en-US" w:eastAsia="zh-CN"/>
        </w:rPr>
        <w:t>2、</w:t>
      </w:r>
      <w:r>
        <w:rPr>
          <w:rFonts w:hint="eastAsia" w:ascii="Times New Roman" w:hAnsi="宋体" w:eastAsia="宋体" w:cs="Times New Roman"/>
          <w:color w:val="auto"/>
          <w:szCs w:val="21"/>
          <w:highlight w:val="none"/>
        </w:rPr>
        <w:t>以分所名义投标的，应取得总所的授权委托书并</w:t>
      </w:r>
      <w:r>
        <w:rPr>
          <w:rFonts w:hint="eastAsia" w:ascii="Times New Roman" w:hAnsi="宋体" w:eastAsia="宋体" w:cs="Times New Roman"/>
          <w:b/>
          <w:bCs/>
          <w:color w:val="FF0000"/>
          <w:szCs w:val="21"/>
          <w:highlight w:val="none"/>
        </w:rPr>
        <w:t>承诺对分所的业务经营活动承担民事责任</w:t>
      </w:r>
      <w:r>
        <w:rPr>
          <w:rFonts w:hint="eastAsia" w:ascii="Times New Roman" w:hAnsi="宋体" w:cs="Times New Roman"/>
          <w:color w:val="auto"/>
          <w:szCs w:val="21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210" w:firstLineChars="100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3、信用中国</w:t>
      </w:r>
      <w:r>
        <w:rPr>
          <w:rFonts w:hint="eastAsia" w:ascii="宋体" w:hAnsi="宋体" w:cs="宋体"/>
          <w:szCs w:val="21"/>
        </w:rPr>
        <w:t>查询渠道：“信用中国”网站（www.creditchina.gov.cn）</w:t>
      </w:r>
      <w:r>
        <w:rPr>
          <w:rFonts w:hint="eastAsia" w:ascii="宋体" w:hAnsi="宋体" w:cs="宋体"/>
          <w:szCs w:val="21"/>
          <w:lang w:val="en-US" w:eastAsia="zh-CN"/>
        </w:rPr>
        <w:t>--信用服务-失信被执行人、</w:t>
      </w:r>
      <w:r>
        <w:rPr>
          <w:rFonts w:hint="eastAsia" w:ascii="Times New Roman" w:hAnsi="宋体" w:eastAsia="宋体" w:cs="Times New Roman"/>
          <w:color w:val="auto"/>
          <w:szCs w:val="21"/>
          <w:highlight w:val="none"/>
        </w:rPr>
        <w:t>重大税收违法案件当事人名单、政府采购严重违法失信行为</w:t>
      </w:r>
      <w:r>
        <w:rPr>
          <w:rFonts w:hint="eastAsia" w:ascii="Times New Roman" w:hAnsi="宋体" w:cs="Times New Roman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cs="宋体"/>
          <w:b/>
          <w:bCs/>
          <w:color w:val="FF0000"/>
          <w:sz w:val="21"/>
          <w:szCs w:val="21"/>
          <w:lang w:val="en-US" w:eastAsia="zh-CN"/>
        </w:rPr>
        <w:t>查询截图要包含日期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，可直接截取屏幕右下角时间或右键打印出来再扫描；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210" w:firstLineChars="100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4、财务审计报告：《中华人民共和国注册会计师法》规定，提交</w:t>
      </w:r>
      <w:r>
        <w:rPr>
          <w:rFonts w:hint="eastAsia" w:ascii="宋体" w:hAnsi="宋体" w:cs="宋体"/>
          <w:b/>
          <w:bCs/>
          <w:color w:val="FF0000"/>
          <w:sz w:val="21"/>
          <w:szCs w:val="21"/>
          <w:lang w:val="en-US" w:eastAsia="zh-CN"/>
        </w:rPr>
        <w:t>完整</w:t>
      </w:r>
      <w:r>
        <w:rPr>
          <w:rFonts w:hint="eastAsia" w:ascii="宋体" w:hAnsi="宋体" w:cs="宋体"/>
          <w:sz w:val="21"/>
          <w:szCs w:val="21"/>
          <w:lang w:val="en-US" w:eastAsia="zh-CN"/>
        </w:rPr>
        <w:t>有效的财务审计报告。财务审计报告加盖注册会计师印章并由</w:t>
      </w:r>
      <w:r>
        <w:rPr>
          <w:rFonts w:hint="eastAsia" w:ascii="宋体" w:hAnsi="宋体" w:cs="宋体"/>
          <w:b/>
          <w:bCs/>
          <w:color w:val="FF0000"/>
          <w:sz w:val="21"/>
          <w:szCs w:val="21"/>
          <w:lang w:val="en-US" w:eastAsia="zh-CN"/>
        </w:rPr>
        <w:t>其本人签名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210" w:firstLineChars="100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5、承诺书需包含以下内容：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38" w:firstLineChars="304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5.1</w:t>
      </w:r>
      <w:r>
        <w:rPr>
          <w:rFonts w:hint="eastAsia" w:ascii="Times New Roman" w:hAnsi="宋体" w:eastAsia="宋体" w:cs="Times New Roman"/>
          <w:color w:val="auto"/>
          <w:szCs w:val="21"/>
          <w:highlight w:val="none"/>
        </w:rPr>
        <w:t>截至投标截止日，</w:t>
      </w:r>
      <w:r>
        <w:rPr>
          <w:rFonts w:hint="eastAsia" w:ascii="Times New Roman" w:hAnsi="宋体" w:eastAsia="宋体" w:cs="Times New Roman"/>
          <w:color w:val="auto"/>
          <w:szCs w:val="21"/>
          <w:highlight w:val="none"/>
          <w:lang w:val="en-US" w:eastAsia="zh-CN"/>
        </w:rPr>
        <w:t>投标人</w:t>
      </w:r>
      <w:r>
        <w:rPr>
          <w:rFonts w:hint="eastAsia" w:ascii="Times New Roman" w:hAnsi="宋体" w:eastAsia="宋体" w:cs="Times New Roman"/>
          <w:color w:val="auto"/>
          <w:szCs w:val="21"/>
          <w:highlight w:val="none"/>
        </w:rPr>
        <w:t>未被“信用中国”网站（http://www</w:t>
      </w:r>
      <w:r>
        <w:rPr>
          <w:rFonts w:hint="eastAsia" w:ascii="Times New Roman" w:hAnsi="宋体" w:eastAsia="宋体" w:cs="Times New Roman"/>
          <w:color w:val="auto"/>
          <w:szCs w:val="21"/>
          <w:highlight w:val="none"/>
          <w:lang w:val="en-US" w:eastAsia="zh-CN"/>
        </w:rPr>
        <w:t>.</w:t>
      </w:r>
      <w:r>
        <w:rPr>
          <w:rFonts w:hint="eastAsia" w:ascii="Times New Roman" w:hAnsi="宋体" w:eastAsia="宋体" w:cs="Times New Roman"/>
          <w:color w:val="auto"/>
          <w:szCs w:val="21"/>
          <w:highlight w:val="none"/>
        </w:rPr>
        <w:t>creditchina</w:t>
      </w:r>
      <w:r>
        <w:rPr>
          <w:rFonts w:hint="eastAsia" w:ascii="Times New Roman" w:hAnsi="宋体" w:eastAsia="宋体" w:cs="Times New Roman"/>
          <w:color w:val="auto"/>
          <w:szCs w:val="21"/>
          <w:highlight w:val="none"/>
          <w:lang w:val="en-US" w:eastAsia="zh-CN"/>
        </w:rPr>
        <w:t>.</w:t>
      </w:r>
      <w:r>
        <w:rPr>
          <w:rFonts w:hint="eastAsia" w:ascii="Times New Roman" w:hAnsi="宋体" w:eastAsia="宋体" w:cs="Times New Roman"/>
          <w:color w:val="auto"/>
          <w:szCs w:val="21"/>
          <w:highlight w:val="none"/>
        </w:rPr>
        <w:t>gov</w:t>
      </w:r>
      <w:r>
        <w:rPr>
          <w:rFonts w:hint="eastAsia" w:ascii="Times New Roman" w:hAnsi="宋体" w:eastAsia="宋体" w:cs="Times New Roman"/>
          <w:color w:val="auto"/>
          <w:szCs w:val="21"/>
          <w:highlight w:val="none"/>
          <w:lang w:val="en-US" w:eastAsia="zh-CN"/>
        </w:rPr>
        <w:t>.</w:t>
      </w:r>
      <w:r>
        <w:rPr>
          <w:rFonts w:hint="eastAsia" w:ascii="Times New Roman" w:hAnsi="宋体" w:eastAsia="宋体" w:cs="Times New Roman"/>
          <w:color w:val="auto"/>
          <w:szCs w:val="21"/>
          <w:highlight w:val="none"/>
        </w:rPr>
        <w:t>cn）列</w:t>
      </w:r>
      <w:r>
        <w:rPr>
          <w:rFonts w:hint="eastAsia" w:ascii="宋体" w:hAnsi="宋体" w:cs="宋体"/>
          <w:sz w:val="21"/>
          <w:szCs w:val="21"/>
          <w:lang w:val="en-US" w:eastAsia="zh-CN"/>
        </w:rPr>
        <w:t>入失信被执行人、重大税收违法案件当事人名单、政府采购严重违法失信行为记录名单。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38" w:firstLineChars="304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5.2投标人所投产品/服务未被列入《中国农业银行集中采购禁入名录》；供应商法定代表人或单位负责人、授权代表人未被列入《中国农业银行集中采购禁入人员名单》；（提供加盖公章的承诺书）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38" w:firstLineChars="304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5.3投标人法定代表人、控股股东或实际控制人与招标人高管或使用需求部门、采购部门关键岗位人员存在夫妻、直系血亲、三代以内旁系血亲或近姻亲关系，仍参加投标的。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38" w:firstLineChars="304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5.4法定代表人或负责人为同一人或存在控股、管理关系的不同单位，参加采购方同一项目投标的。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38" w:firstLineChars="304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5.5向招标人行贿或者采取其他不正当手段谋取非法利益的。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38" w:firstLineChars="304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5.6本项目不接受联合体投标。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210" w:firstLineChars="100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投标人授权代表须为投标人正式员工，须提供授权代理人2022年1月以来在投标单位缴纳的社会保险缴费证明；</w:t>
      </w:r>
    </w:p>
    <w:p>
      <w:pPr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211" w:firstLineChars="100"/>
        <w:jc w:val="left"/>
        <w:textAlignment w:val="auto"/>
        <w:outlineLvl w:val="9"/>
        <w:rPr>
          <w:rFonts w:hint="eastAsia"/>
          <w:b/>
          <w:bCs/>
          <w:color w:val="auto"/>
          <w:lang w:val="en-US" w:eastAsia="zh-CN"/>
        </w:rPr>
      </w:pPr>
      <w:r>
        <w:rPr>
          <w:rFonts w:hint="eastAsia"/>
          <w:b/>
          <w:bCs/>
          <w:color w:val="auto"/>
          <w:lang w:val="en-US" w:eastAsia="zh-CN"/>
        </w:rPr>
        <w:t>投标文件所符的相关证明材料的扫描件或复印件应清晰可辨，</w:t>
      </w: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否则产生不利因素由投标人自行承担</w:t>
      </w:r>
      <w:r>
        <w:rPr>
          <w:rFonts w:hint="eastAsia"/>
          <w:b/>
          <w:bCs/>
          <w:color w:val="auto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210" w:firstLineChars="100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请各投标人合理的规划递交投标文件的时间，因递交投标还需填写投标人签到表等资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cs="宋体"/>
          <w:b/>
          <w:color w:val="FF0000"/>
          <w:kern w:val="0"/>
          <w:szCs w:val="21"/>
          <w:highlight w:val="yellow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料，为避免聚集</w:t>
      </w:r>
      <w:r>
        <w:rPr>
          <w:rFonts w:hint="eastAsia" w:ascii="宋体" w:hAnsi="宋体" w:cs="宋体"/>
          <w:b/>
          <w:bCs/>
          <w:color w:val="FF0000"/>
          <w:sz w:val="21"/>
          <w:szCs w:val="21"/>
          <w:highlight w:val="yellow"/>
          <w:lang w:val="en-US" w:eastAsia="zh-CN"/>
        </w:rPr>
        <w:t>只允许一名</w:t>
      </w:r>
      <w:r>
        <w:rPr>
          <w:rFonts w:hint="eastAsia" w:ascii="宋体" w:hAnsi="宋体" w:cs="宋体"/>
          <w:b/>
          <w:bCs/>
          <w:color w:val="FF0000"/>
          <w:kern w:val="0"/>
          <w:szCs w:val="21"/>
          <w:highlight w:val="yellow"/>
          <w:lang w:val="en-US" w:eastAsia="zh-CN"/>
        </w:rPr>
        <w:t>投</w:t>
      </w:r>
      <w:r>
        <w:rPr>
          <w:rFonts w:hint="eastAsia" w:ascii="宋体" w:hAnsi="宋体" w:cs="宋体"/>
          <w:b/>
          <w:color w:val="FF0000"/>
          <w:kern w:val="0"/>
          <w:szCs w:val="21"/>
          <w:highlight w:val="yellow"/>
          <w:lang w:val="en-US" w:eastAsia="zh-CN"/>
        </w:rPr>
        <w:t>标</w:t>
      </w:r>
      <w:r>
        <w:rPr>
          <w:rFonts w:hint="eastAsia" w:ascii="宋体" w:hAnsi="宋体" w:cs="宋体"/>
          <w:b/>
          <w:color w:val="FF0000"/>
          <w:kern w:val="0"/>
          <w:szCs w:val="21"/>
          <w:highlight w:val="yellow"/>
        </w:rPr>
        <w:t>人代表</w:t>
      </w:r>
      <w:r>
        <w:rPr>
          <w:rFonts w:hint="eastAsia" w:ascii="宋体" w:hAnsi="宋体" w:cs="宋体"/>
          <w:b/>
          <w:color w:val="FF0000"/>
          <w:kern w:val="0"/>
          <w:szCs w:val="21"/>
          <w:highlight w:val="yellow"/>
          <w:lang w:val="en-US" w:eastAsia="zh-CN"/>
        </w:rPr>
        <w:t>递交投标文件</w:t>
      </w:r>
      <w:r>
        <w:rPr>
          <w:rFonts w:hint="eastAsia" w:ascii="宋体" w:hAnsi="宋体" w:cs="宋体"/>
          <w:b w:val="0"/>
          <w:bCs/>
          <w:color w:val="auto"/>
          <w:kern w:val="0"/>
          <w:szCs w:val="21"/>
          <w:highlight w:val="none"/>
          <w:lang w:val="en-US" w:eastAsia="zh-CN"/>
        </w:rPr>
        <w:t>并</w:t>
      </w:r>
      <w:r>
        <w:rPr>
          <w:rFonts w:hint="eastAsia" w:ascii="宋体" w:hAnsi="宋体" w:cs="宋体"/>
          <w:sz w:val="21"/>
          <w:szCs w:val="21"/>
          <w:lang w:val="en-US" w:eastAsia="zh-CN"/>
        </w:rPr>
        <w:t>不要在投标截止时集中递交，递交后的投标人请及时离场</w:t>
      </w:r>
      <w:r>
        <w:rPr>
          <w:rFonts w:hint="eastAsia" w:ascii="宋体" w:hAnsi="宋体" w:cs="宋体"/>
          <w:b/>
          <w:bCs/>
          <w:color w:val="FF0000"/>
          <w:sz w:val="21"/>
          <w:szCs w:val="21"/>
          <w:highlight w:val="yellow"/>
          <w:lang w:val="en-US" w:eastAsia="zh-CN"/>
        </w:rPr>
        <w:t>（投标人代表须</w:t>
      </w:r>
      <w:r>
        <w:rPr>
          <w:rFonts w:hint="eastAsia" w:ascii="宋体" w:hAnsi="宋体" w:cs="宋体"/>
          <w:b/>
          <w:bCs/>
          <w:color w:val="FF0000"/>
          <w:kern w:val="0"/>
          <w:szCs w:val="21"/>
          <w:highlight w:val="yellow"/>
        </w:rPr>
        <w:t>出具</w:t>
      </w:r>
      <w:r>
        <w:rPr>
          <w:rFonts w:hint="eastAsia" w:ascii="宋体" w:hAnsi="宋体" w:cs="宋体"/>
          <w:b/>
          <w:color w:val="FF0000"/>
          <w:kern w:val="0"/>
          <w:szCs w:val="21"/>
          <w:highlight w:val="yellow"/>
        </w:rPr>
        <w:t>的</w:t>
      </w:r>
      <w:r>
        <w:rPr>
          <w:rFonts w:hint="eastAsia" w:ascii="宋体" w:hAnsi="宋体" w:cs="宋体"/>
          <w:b/>
          <w:color w:val="FF0000"/>
          <w:kern w:val="0"/>
          <w:szCs w:val="21"/>
          <w:highlight w:val="yellow"/>
          <w:lang w:val="en-US" w:eastAsia="zh-CN"/>
        </w:rPr>
        <w:t>24小时</w:t>
      </w:r>
      <w:r>
        <w:rPr>
          <w:rFonts w:hint="eastAsia" w:ascii="宋体" w:hAnsi="宋体" w:cs="宋体"/>
          <w:b/>
          <w:color w:val="FF0000"/>
          <w:kern w:val="0"/>
          <w:szCs w:val="21"/>
          <w:highlight w:val="yellow"/>
        </w:rPr>
        <w:t>绿色健康码</w:t>
      </w:r>
      <w:r>
        <w:rPr>
          <w:rFonts w:hint="eastAsia" w:ascii="宋体" w:hAnsi="宋体" w:cs="宋体"/>
          <w:b/>
          <w:color w:val="FF0000"/>
          <w:kern w:val="0"/>
          <w:szCs w:val="21"/>
          <w:highlight w:val="yellow"/>
          <w:lang w:val="en-US" w:eastAsia="zh-CN"/>
        </w:rPr>
        <w:t>和行程码，配戴好口罩，保持一米间距）</w:t>
      </w:r>
    </w:p>
    <w:p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ind w:left="0" w:leftChars="0" w:firstLine="0" w:firstLineChars="0"/>
      <w:jc w:val="both"/>
      <w:rPr>
        <w:rFonts w:ascii="Times New Roman" w:hAnsi="Times New Roman" w:eastAsia="宋体" w:cs="Times New Roman"/>
        <w:kern w:val="2"/>
        <w:sz w:val="18"/>
        <w:szCs w:val="22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Times New Roman" w:hAnsi="Times New Roman" w:eastAsia="宋体" w:cs="Times New Roman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Times New Roman" w:eastAsia="宋体" w:cs="Times New Roman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18"/>
                              <w:lang w:eastAsia="zh-CN"/>
                            </w:rPr>
                            <w:t>50</w: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18"/>
                              <w:lang w:eastAsia="zh-CN"/>
                            </w:rPr>
                            <w:t>66</w: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Times New Roman" w:hAnsi="Times New Roman" w:eastAsia="宋体" w:cs="Times New Roman"/>
                        <w:sz w:val="18"/>
                        <w:lang w:eastAsia="zh-CN"/>
                      </w:rPr>
                    </w:pPr>
                    <w:r>
                      <w:rPr>
                        <w:rFonts w:hint="eastAsia" w:ascii="Times New Roman" w:hAnsi="Times New Roman" w:eastAsia="宋体" w:cs="Times New Roman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 w:ascii="Times New Roman" w:hAnsi="Times New Roman" w:eastAsia="宋体" w:cs="Times New Roman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eastAsia="宋体" w:cs="Times New Roman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eastAsia="宋体" w:cs="Times New Roman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eastAsia="宋体" w:cs="Times New Roman"/>
                        <w:sz w:val="18"/>
                        <w:lang w:eastAsia="zh-CN"/>
                      </w:rPr>
                      <w:t>50</w:t>
                    </w:r>
                    <w:r>
                      <w:rPr>
                        <w:rFonts w:hint="eastAsia" w:ascii="Times New Roman" w:hAnsi="Times New Roman" w:eastAsia="宋体" w:cs="Times New Roman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eastAsia="宋体" w:cs="Times New Roman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 w:ascii="Times New Roman" w:hAnsi="Times New Roman" w:eastAsia="宋体" w:cs="Times New Roman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eastAsia="宋体" w:cs="Times New Roman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 w:ascii="Times New Roman" w:hAnsi="Times New Roman" w:eastAsia="宋体" w:cs="Times New Roman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eastAsia="宋体" w:cs="Times New Roman"/>
                        <w:sz w:val="18"/>
                        <w:lang w:eastAsia="zh-CN"/>
                      </w:rPr>
                      <w:t>66</w:t>
                    </w:r>
                    <w:r>
                      <w:rPr>
                        <w:rFonts w:hint="eastAsia" w:ascii="Times New Roman" w:hAnsi="Times New Roman" w:eastAsia="宋体" w:cs="Times New Roman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eastAsia="宋体" w:cs="Times New Roman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kern w:val="2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ind w:left="0" w:leftChars="0" w:firstLine="0" w:firstLineChars="0"/>
                            <w:jc w:val="both"/>
                            <w:rPr>
                              <w:rFonts w:ascii="Times New Roman" w:hAnsi="Times New Roman" w:eastAsia="宋体" w:cs="Times New Roman"/>
                              <w:kern w:val="2"/>
                              <w:sz w:val="18"/>
                              <w:szCs w:val="22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ind w:left="0" w:leftChars="0" w:firstLine="0" w:firstLineChars="0"/>
                      <w:jc w:val="both"/>
                      <w:rPr>
                        <w:rFonts w:ascii="Times New Roman" w:hAnsi="Times New Roman" w:eastAsia="宋体" w:cs="Times New Roman"/>
                        <w:kern w:val="2"/>
                        <w:sz w:val="18"/>
                        <w:szCs w:val="22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5FC705"/>
    <w:multiLevelType w:val="singleLevel"/>
    <w:tmpl w:val="B25FC705"/>
    <w:lvl w:ilvl="0" w:tentative="0">
      <w:start w:val="6"/>
      <w:numFmt w:val="decimal"/>
      <w:suff w:val="nothing"/>
      <w:lvlText w:val="%1、"/>
      <w:lvlJc w:val="left"/>
    </w:lvl>
  </w:abstractNum>
  <w:abstractNum w:abstractNumId="1">
    <w:nsid w:val="F9D2907C"/>
    <w:multiLevelType w:val="multilevel"/>
    <w:tmpl w:val="F9D2907C"/>
    <w:lvl w:ilvl="0" w:tentative="0">
      <w:start w:val="1"/>
      <w:numFmt w:val="chineseCountingThousand"/>
      <w:pStyle w:val="6"/>
      <w:suff w:val="nothing"/>
      <w:lvlText w:val="%1、"/>
      <w:lvlJc w:val="left"/>
      <w:rPr>
        <w:rFonts w:hint="eastAsia"/>
        <w:b/>
        <w:i w:val="0"/>
        <w:sz w:val="24"/>
      </w:rPr>
    </w:lvl>
    <w:lvl w:ilvl="1" w:tentative="0">
      <w:start w:val="1"/>
      <w:numFmt w:val="decimal"/>
      <w:pStyle w:val="7"/>
      <w:suff w:val="nothing"/>
      <w:lvlText w:val="%2. "/>
      <w:lvlJc w:val="left"/>
      <w:rPr>
        <w:rFonts w:hint="eastAsia"/>
        <w:b w:val="0"/>
        <w:i w:val="0"/>
        <w:sz w:val="24"/>
      </w:rPr>
    </w:lvl>
    <w:lvl w:ilvl="2" w:tentative="0">
      <w:start w:val="1"/>
      <w:numFmt w:val="none"/>
      <w:pStyle w:val="8"/>
      <w:suff w:val="nothing"/>
      <w:lvlText w:val=""/>
      <w:lvlJc w:val="left"/>
      <w:rPr>
        <w:rFonts w:hint="eastAsia"/>
      </w:rPr>
    </w:lvl>
    <w:lvl w:ilvl="3" w:tentative="0">
      <w:start w:val="1"/>
      <w:numFmt w:val="none"/>
      <w:suff w:val="nothing"/>
      <w:lvlText w:val=""/>
      <w:lvlJc w:val="left"/>
      <w:rPr>
        <w:rFonts w:hint="eastAsia"/>
      </w:rPr>
    </w:lvl>
    <w:lvl w:ilvl="4" w:tentative="0">
      <w:start w:val="1"/>
      <w:numFmt w:val="none"/>
      <w:suff w:val="nothing"/>
      <w:lvlText w:val=""/>
      <w:lvlJc w:val="left"/>
      <w:rPr>
        <w:rFonts w:hint="eastAsia"/>
      </w:rPr>
    </w:lvl>
    <w:lvl w:ilvl="5" w:tentative="0">
      <w:start w:val="1"/>
      <w:numFmt w:val="none"/>
      <w:suff w:val="nothing"/>
      <w:lvlText w:val=""/>
      <w:lvlJc w:val="left"/>
      <w:rPr>
        <w:rFonts w:hint="eastAsia"/>
      </w:rPr>
    </w:lvl>
    <w:lvl w:ilvl="6" w:tentative="0">
      <w:start w:val="1"/>
      <w:numFmt w:val="none"/>
      <w:suff w:val="nothing"/>
      <w:lvlText w:val=""/>
      <w:lvlJc w:val="left"/>
      <w:rPr>
        <w:rFonts w:hint="eastAsia"/>
      </w:rPr>
    </w:lvl>
    <w:lvl w:ilvl="7" w:tentative="0">
      <w:start w:val="1"/>
      <w:numFmt w:val="none"/>
      <w:suff w:val="nothing"/>
      <w:lvlText w:val=""/>
      <w:lvlJc w:val="left"/>
      <w:rPr>
        <w:rFonts w:hint="eastAsia"/>
      </w:rPr>
    </w:lvl>
    <w:lvl w:ilvl="8" w:tentative="0">
      <w:start w:val="1"/>
      <w:numFmt w:val="none"/>
      <w:suff w:val="nothing"/>
      <w:lvlText w:val="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mNTFmMWEyNDk5MWUzMzVjNmY0N2QzYjZmMmUyYzIifQ=="/>
  </w:docVars>
  <w:rsids>
    <w:rsidRoot w:val="204D6ADF"/>
    <w:rsid w:val="037319AF"/>
    <w:rsid w:val="05151C14"/>
    <w:rsid w:val="0DC7755F"/>
    <w:rsid w:val="171C091C"/>
    <w:rsid w:val="18FE25E7"/>
    <w:rsid w:val="19881E8B"/>
    <w:rsid w:val="20254EED"/>
    <w:rsid w:val="204D6ADF"/>
    <w:rsid w:val="2A1C65BC"/>
    <w:rsid w:val="2A763ACC"/>
    <w:rsid w:val="30E97669"/>
    <w:rsid w:val="34A915E9"/>
    <w:rsid w:val="36840120"/>
    <w:rsid w:val="36D65004"/>
    <w:rsid w:val="38DC59FF"/>
    <w:rsid w:val="3B7D31A3"/>
    <w:rsid w:val="3FE65222"/>
    <w:rsid w:val="461418B1"/>
    <w:rsid w:val="4A631E84"/>
    <w:rsid w:val="4EF507EF"/>
    <w:rsid w:val="526C7ABA"/>
    <w:rsid w:val="5495528E"/>
    <w:rsid w:val="55955754"/>
    <w:rsid w:val="56A078E4"/>
    <w:rsid w:val="57E94DB3"/>
    <w:rsid w:val="5BBE0092"/>
    <w:rsid w:val="5EFE426F"/>
    <w:rsid w:val="603F7682"/>
    <w:rsid w:val="60C915DB"/>
    <w:rsid w:val="64901FC2"/>
    <w:rsid w:val="67980EC5"/>
    <w:rsid w:val="70C9331F"/>
    <w:rsid w:val="74B734A4"/>
    <w:rsid w:val="74C22E71"/>
    <w:rsid w:val="77AB7EFD"/>
    <w:rsid w:val="7A4A11D2"/>
    <w:rsid w:val="7AE4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6">
    <w:name w:val="heading 1"/>
    <w:basedOn w:val="1"/>
    <w:next w:val="1"/>
    <w:link w:val="17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rFonts w:ascii="Times New Roman" w:hAnsi="Times New Roman" w:eastAsia="宋体"/>
      <w:b/>
      <w:kern w:val="44"/>
      <w:sz w:val="32"/>
      <w:szCs w:val="20"/>
      <w:lang w:val="en-US" w:bidi="ar-SA"/>
    </w:rPr>
  </w:style>
  <w:style w:type="paragraph" w:styleId="7">
    <w:name w:val="heading 2"/>
    <w:basedOn w:val="1"/>
    <w:next w:val="1"/>
    <w:link w:val="16"/>
    <w:semiHidden/>
    <w:unhideWhenUsed/>
    <w:qFormat/>
    <w:uiPriority w:val="0"/>
    <w:pPr>
      <w:keepNext/>
      <w:keepLines/>
      <w:numPr>
        <w:ilvl w:val="1"/>
        <w:numId w:val="1"/>
      </w:numPr>
      <w:adjustRightInd w:val="0"/>
      <w:spacing w:before="260" w:after="260" w:line="416" w:lineRule="atLeast"/>
      <w:textAlignment w:val="baseline"/>
      <w:outlineLvl w:val="1"/>
    </w:pPr>
    <w:rPr>
      <w:rFonts w:ascii="Arial" w:hAnsi="Arial" w:eastAsia="黑体"/>
      <w:b/>
      <w:kern w:val="0"/>
      <w:sz w:val="24"/>
      <w:szCs w:val="20"/>
      <w:lang w:val="en-US" w:bidi="ar-SA"/>
    </w:rPr>
  </w:style>
  <w:style w:type="paragraph" w:styleId="8">
    <w:name w:val="heading 3"/>
    <w:basedOn w:val="1"/>
    <w:next w:val="1"/>
    <w:link w:val="14"/>
    <w:semiHidden/>
    <w:unhideWhenUsed/>
    <w:qFormat/>
    <w:uiPriority w:val="0"/>
    <w:pPr>
      <w:keepNext/>
      <w:keepLines/>
      <w:numPr>
        <w:ilvl w:val="2"/>
        <w:numId w:val="1"/>
      </w:numPr>
      <w:adjustRightInd w:val="0"/>
      <w:spacing w:before="260" w:after="260" w:line="416" w:lineRule="atLeast"/>
      <w:textAlignment w:val="baseline"/>
      <w:outlineLvl w:val="2"/>
    </w:pPr>
    <w:rPr>
      <w:rFonts w:ascii="Times New Roman" w:hAnsi="Times New Roman" w:eastAsia="宋体"/>
      <w:b/>
      <w:kern w:val="0"/>
      <w:sz w:val="24"/>
      <w:szCs w:val="20"/>
      <w:lang w:val="en-US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tabs>
        <w:tab w:val="left" w:pos="420"/>
        <w:tab w:val="left" w:pos="8640"/>
      </w:tabs>
      <w:spacing w:after="120"/>
      <w:ind w:left="420" w:leftChars="200" w:firstLine="420" w:firstLineChars="200"/>
    </w:pPr>
    <w:rPr>
      <w:rFonts w:ascii="Times New Roman" w:hAnsi="Times New Roman"/>
    </w:rPr>
  </w:style>
  <w:style w:type="paragraph" w:styleId="3">
    <w:name w:val="Body Text Indent"/>
    <w:basedOn w:val="4"/>
    <w:next w:val="5"/>
    <w:qFormat/>
    <w:uiPriority w:val="99"/>
    <w:pPr>
      <w:tabs>
        <w:tab w:val="left" w:pos="420"/>
        <w:tab w:val="left" w:pos="8640"/>
      </w:tabs>
      <w:ind w:left="1365"/>
    </w:pPr>
  </w:style>
  <w:style w:type="paragraph" w:styleId="4">
    <w:name w:val="Body Text"/>
    <w:basedOn w:val="1"/>
    <w:next w:val="1"/>
    <w:qFormat/>
    <w:uiPriority w:val="0"/>
    <w:pPr>
      <w:ind w:left="252"/>
    </w:pPr>
    <w:rPr>
      <w:rFonts w:ascii="仿宋_GB2312" w:hAnsi="仿宋_GB2312" w:eastAsia="仿宋_GB2312" w:cs="仿宋_GB2312"/>
      <w:sz w:val="28"/>
      <w:szCs w:val="32"/>
      <w:lang w:val="zh-CN" w:bidi="zh-CN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9">
    <w:name w:val="toc 1"/>
    <w:basedOn w:val="1"/>
    <w:next w:val="1"/>
    <w:qFormat/>
    <w:uiPriority w:val="0"/>
    <w:pPr>
      <w:tabs>
        <w:tab w:val="left" w:pos="1470"/>
        <w:tab w:val="right" w:leader="dot" w:pos="8949"/>
      </w:tabs>
      <w:spacing w:line="360" w:lineRule="auto"/>
      <w:ind w:firstLine="480" w:firstLineChars="200"/>
    </w:pPr>
    <w:rPr>
      <w:rFonts w:ascii="仿宋_GB2312" w:hAnsi="仿宋_GB2312" w:eastAsia="宋体"/>
      <w:bCs/>
      <w:color w:val="000000" w:themeColor="text1"/>
      <w:sz w:val="21"/>
      <w:szCs w:val="22"/>
      <w14:textFill>
        <w14:solidFill>
          <w14:schemeClr w14:val="tx1"/>
        </w14:solidFill>
      </w14:textFill>
    </w:rPr>
  </w:style>
  <w:style w:type="paragraph" w:styleId="10">
    <w:name w:val="toc 2"/>
    <w:basedOn w:val="1"/>
    <w:next w:val="1"/>
    <w:qFormat/>
    <w:uiPriority w:val="0"/>
    <w:pPr>
      <w:spacing w:line="300" w:lineRule="auto"/>
      <w:ind w:left="420"/>
    </w:pPr>
    <w:rPr>
      <w:rFonts w:ascii="Times New Roman" w:hAnsi="Times New Roman" w:eastAsia="宋体"/>
      <w:sz w:val="21"/>
      <w:szCs w:val="22"/>
    </w:rPr>
  </w:style>
  <w:style w:type="paragraph" w:styleId="11">
    <w:name w:val="Body Text 2"/>
    <w:basedOn w:val="1"/>
    <w:next w:val="4"/>
    <w:qFormat/>
    <w:uiPriority w:val="0"/>
    <w:pPr>
      <w:spacing w:line="480" w:lineRule="auto"/>
    </w:pPr>
  </w:style>
  <w:style w:type="character" w:customStyle="1" w:styleId="14">
    <w:name w:val="标题 3 字符"/>
    <w:link w:val="8"/>
    <w:qFormat/>
    <w:uiPriority w:val="0"/>
    <w:rPr>
      <w:rFonts w:ascii="Times New Roman" w:hAnsi="Times New Roman" w:eastAsia="宋体"/>
      <w:b/>
      <w:sz w:val="24"/>
      <w:lang w:val="en-US" w:bidi="ar-SA"/>
    </w:rPr>
  </w:style>
  <w:style w:type="paragraph" w:customStyle="1" w:styleId="15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6">
    <w:name w:val="标题 2 Char"/>
    <w:link w:val="7"/>
    <w:qFormat/>
    <w:uiPriority w:val="0"/>
    <w:rPr>
      <w:rFonts w:ascii="Arial" w:hAnsi="Arial" w:eastAsia="宋体" w:cs="Times New Roman"/>
      <w:b/>
      <w:kern w:val="2"/>
      <w:sz w:val="21"/>
      <w:lang w:val="en-US" w:bidi="ar-SA"/>
    </w:rPr>
  </w:style>
  <w:style w:type="character" w:customStyle="1" w:styleId="17">
    <w:name w:val="标题 1 字符"/>
    <w:link w:val="6"/>
    <w:qFormat/>
    <w:uiPriority w:val="0"/>
    <w:rPr>
      <w:rFonts w:ascii="Times New Roman" w:hAnsi="Times New Roman" w:eastAsia="宋体"/>
      <w:b/>
      <w:kern w:val="44"/>
      <w:sz w:val="32"/>
      <w:lang w:val="en-US" w:eastAsia="zh-CN" w:bidi="ar-SA"/>
    </w:rPr>
  </w:style>
  <w:style w:type="paragraph" w:customStyle="1" w:styleId="18">
    <w:name w:val="文档正文"/>
    <w:basedOn w:val="1"/>
    <w:qFormat/>
    <w:uiPriority w:val="0"/>
    <w:pPr>
      <w:adjustRightInd w:val="0"/>
      <w:spacing w:line="360" w:lineRule="auto"/>
      <w:ind w:firstLine="0"/>
      <w:textAlignment w:val="baseline"/>
    </w:pPr>
    <w:rPr>
      <w:rFonts w:ascii="仿宋_GB2312" w:hAnsi="仿宋_GB2312"/>
      <w:kern w:val="0"/>
    </w:rPr>
  </w:style>
  <w:style w:type="paragraph" w:customStyle="1" w:styleId="19">
    <w:name w:val="AONormal"/>
    <w:qFormat/>
    <w:uiPriority w:val="0"/>
    <w:pPr>
      <w:spacing w:line="260" w:lineRule="atLeast"/>
    </w:pPr>
    <w:rPr>
      <w:rFonts w:ascii="Times New Roman" w:hAnsi="Times New Roman" w:eastAsia="宋体" w:cs="Times New Roman"/>
      <w:sz w:val="22"/>
      <w:szCs w:val="22"/>
      <w:lang w:val="en-GB" w:eastAsia="en-US" w:bidi="ar-SA"/>
    </w:rPr>
  </w:style>
  <w:style w:type="paragraph" w:customStyle="1" w:styleId="20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720</Words>
  <Characters>870</Characters>
  <Lines>0</Lines>
  <Paragraphs>0</Paragraphs>
  <TotalTime>3</TotalTime>
  <ScaleCrop>false</ScaleCrop>
  <LinksUpToDate>false</LinksUpToDate>
  <CharactersWithSpaces>908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2022-11-16T08:49:00Z</dcterms:created>
  <dc:creator>再见再也不见  ▽ ”</dc:creator>
  <cp:lastModifiedBy>08</cp:lastModifiedBy>
  <dcterms:modified xsi:type="dcterms:W3CDTF">2022-11-24T06:18:49Z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81D3D205A44446EB89A7709B4FDAE5B9</vt:lpwstr>
  </property>
</Properties>
</file>