
<file path=[Content_Types].xml><?xml version="1.0" encoding="utf-8"?>
<Types xmlns="http://schemas.openxmlformats.org/package/2006/content-types">
  <Default Extension="xml" ContentType="application/xml"/>
  <Default Extension="bin" ContentType="application/vnd.openxmlformats-officedocument.oleObject"/>
  <Default Extension="jpeg" ContentType="image/jpeg"/>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rPr>
          <w:b/>
          <w:sz w:val="44"/>
          <w:szCs w:val="44"/>
        </w:rPr>
      </w:pPr>
    </w:p>
    <w:p>
      <w:pPr>
        <w:widowControl/>
        <w:jc w:val="center"/>
        <w:rPr>
          <w:rFonts w:hint="eastAsia" w:eastAsiaTheme="minorEastAsia"/>
          <w:b/>
          <w:sz w:val="40"/>
          <w:szCs w:val="40"/>
          <w:lang w:eastAsia="zh-CN"/>
        </w:rPr>
      </w:pPr>
      <w:r>
        <w:rPr>
          <w:rFonts w:hint="eastAsia"/>
          <w:b/>
          <w:sz w:val="40"/>
          <w:szCs w:val="40"/>
          <w:u w:val="single"/>
          <w:lang w:eastAsia="zh-CN"/>
        </w:rPr>
        <w:t>郑州市蔬菜研究所“郑州市蔬菜研究所 科研楼”供配电工程（</w:t>
      </w:r>
      <w:r>
        <w:rPr>
          <w:rFonts w:hint="eastAsia"/>
          <w:b/>
          <w:sz w:val="40"/>
          <w:szCs w:val="40"/>
          <w:u w:val="single"/>
          <w:lang w:val="en-US" w:eastAsia="zh-CN"/>
        </w:rPr>
        <w:t>二次</w:t>
      </w:r>
      <w:r>
        <w:rPr>
          <w:rFonts w:hint="eastAsia"/>
          <w:b/>
          <w:sz w:val="40"/>
          <w:szCs w:val="40"/>
          <w:u w:val="single"/>
          <w:lang w:eastAsia="zh-CN"/>
        </w:rPr>
        <w:t xml:space="preserve">） </w:t>
      </w:r>
    </w:p>
    <w:p>
      <w:pPr>
        <w:widowControl/>
        <w:jc w:val="center"/>
        <w:rPr>
          <w:b/>
          <w:sz w:val="44"/>
          <w:szCs w:val="44"/>
        </w:rPr>
      </w:pPr>
    </w:p>
    <w:p>
      <w:pPr>
        <w:widowControl/>
        <w:jc w:val="center"/>
        <w:rPr>
          <w:b/>
          <w:sz w:val="44"/>
          <w:szCs w:val="44"/>
        </w:rPr>
      </w:pPr>
    </w:p>
    <w:p>
      <w:pPr>
        <w:widowControl/>
        <w:jc w:val="center"/>
        <w:rPr>
          <w:b/>
          <w:sz w:val="44"/>
          <w:szCs w:val="44"/>
        </w:rPr>
      </w:pPr>
    </w:p>
    <w:p>
      <w:pPr>
        <w:widowControl/>
        <w:jc w:val="center"/>
        <w:rPr>
          <w:b/>
          <w:sz w:val="96"/>
          <w:szCs w:val="44"/>
        </w:rPr>
      </w:pPr>
      <w:r>
        <w:rPr>
          <w:rFonts w:hint="eastAsia"/>
          <w:b/>
          <w:sz w:val="96"/>
          <w:szCs w:val="44"/>
        </w:rPr>
        <w:t>竞争性磋商文件</w:t>
      </w:r>
    </w:p>
    <w:p>
      <w:pPr>
        <w:widowControl/>
        <w:ind w:firstLine="1533" w:firstLineChars="347"/>
        <w:rPr>
          <w:b/>
          <w:sz w:val="44"/>
          <w:szCs w:val="44"/>
        </w:rPr>
      </w:pPr>
    </w:p>
    <w:p>
      <w:pPr>
        <w:widowControl/>
        <w:jc w:val="center"/>
        <w:rPr>
          <w:rFonts w:hint="eastAsia" w:eastAsiaTheme="minorEastAsia"/>
          <w:b/>
          <w:sz w:val="44"/>
          <w:szCs w:val="44"/>
          <w:lang w:eastAsia="zh-CN"/>
        </w:rPr>
      </w:pPr>
      <w:r>
        <w:rPr>
          <w:rFonts w:hint="eastAsia"/>
          <w:b/>
          <w:sz w:val="44"/>
          <w:szCs w:val="44"/>
        </w:rPr>
        <w:t>采购编号：</w:t>
      </w:r>
      <w:r>
        <w:rPr>
          <w:rFonts w:hint="eastAsia"/>
          <w:b/>
          <w:sz w:val="44"/>
          <w:szCs w:val="44"/>
          <w:u w:val="single"/>
          <w:lang w:eastAsia="zh-CN"/>
        </w:rPr>
        <w:t xml:space="preserve">郑财磋商采购-2020-74 </w:t>
      </w:r>
    </w:p>
    <w:p>
      <w:pPr>
        <w:widowControl/>
        <w:jc w:val="center"/>
        <w:rPr>
          <w:b/>
          <w:sz w:val="44"/>
          <w:szCs w:val="44"/>
        </w:rPr>
      </w:pPr>
      <w:r>
        <w:rPr>
          <w:rFonts w:ascii="宋体" w:hAnsi="宋体"/>
          <w:sz w:val="44"/>
          <w:szCs w:val="44"/>
        </w:rPr>
        <w:drawing>
          <wp:inline distT="0" distB="0" distL="0" distR="0">
            <wp:extent cx="1790700" cy="1771650"/>
            <wp:effectExtent l="0" t="0" r="0" b="0"/>
            <wp:docPr id="3" name="图片 3" descr="徽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徽标"/>
                    <pic:cNvPicPr>
                      <a:picLocks noChangeAspect="1" noChangeArrowheads="1"/>
                    </pic:cNvPicPr>
                  </pic:nvPicPr>
                  <pic:blipFill>
                    <a:blip r:embed="rId6">
                      <a:lum contrast="12000"/>
                      <a:extLst>
                        <a:ext uri="{28A0092B-C50C-407E-A947-70E740481C1C}">
                          <a14:useLocalDpi xmlns:a14="http://schemas.microsoft.com/office/drawing/2010/main" val="0"/>
                        </a:ext>
                      </a:extLst>
                    </a:blip>
                    <a:srcRect/>
                    <a:stretch>
                      <a:fillRect/>
                    </a:stretch>
                  </pic:blipFill>
                  <pic:spPr>
                    <a:xfrm>
                      <a:off x="0" y="0"/>
                      <a:ext cx="1790700" cy="1771650"/>
                    </a:xfrm>
                    <a:prstGeom prst="rect">
                      <a:avLst/>
                    </a:prstGeom>
                    <a:noFill/>
                    <a:ln>
                      <a:noFill/>
                    </a:ln>
                  </pic:spPr>
                </pic:pic>
              </a:graphicData>
            </a:graphic>
          </wp:inline>
        </w:drawing>
      </w:r>
    </w:p>
    <w:p>
      <w:pPr>
        <w:widowControl/>
        <w:jc w:val="center"/>
        <w:rPr>
          <w:b/>
          <w:sz w:val="44"/>
          <w:szCs w:val="44"/>
        </w:rPr>
      </w:pPr>
    </w:p>
    <w:p>
      <w:pPr>
        <w:widowControl/>
        <w:jc w:val="center"/>
        <w:rPr>
          <w:b/>
          <w:sz w:val="44"/>
          <w:szCs w:val="44"/>
        </w:rPr>
      </w:pPr>
    </w:p>
    <w:p>
      <w:pPr>
        <w:widowControl/>
        <w:jc w:val="center"/>
        <w:rPr>
          <w:b/>
          <w:sz w:val="44"/>
          <w:szCs w:val="44"/>
        </w:rPr>
      </w:pPr>
    </w:p>
    <w:p>
      <w:pPr>
        <w:widowControl/>
        <w:jc w:val="center"/>
        <w:rPr>
          <w:rFonts w:hint="eastAsia" w:eastAsiaTheme="minorEastAsia"/>
          <w:b/>
          <w:sz w:val="36"/>
          <w:szCs w:val="44"/>
          <w:lang w:eastAsia="zh-CN"/>
        </w:rPr>
      </w:pPr>
      <w:r>
        <w:rPr>
          <w:rFonts w:hint="eastAsia"/>
          <w:b/>
          <w:sz w:val="36"/>
          <w:szCs w:val="44"/>
          <w:lang w:val="en-US" w:eastAsia="zh-CN"/>
        </w:rPr>
        <w:t xml:space="preserve">     </w:t>
      </w:r>
      <w:r>
        <w:rPr>
          <w:rFonts w:hint="eastAsia"/>
          <w:b/>
          <w:sz w:val="36"/>
          <w:szCs w:val="44"/>
        </w:rPr>
        <w:t>采</w:t>
      </w:r>
      <w:r>
        <w:rPr>
          <w:rFonts w:hint="eastAsia"/>
          <w:b/>
          <w:sz w:val="36"/>
          <w:szCs w:val="44"/>
          <w:lang w:val="en-US" w:eastAsia="zh-CN"/>
        </w:rPr>
        <w:t xml:space="preserve">   </w:t>
      </w:r>
      <w:r>
        <w:rPr>
          <w:rFonts w:hint="eastAsia"/>
          <w:b/>
          <w:sz w:val="36"/>
          <w:szCs w:val="44"/>
        </w:rPr>
        <w:t>购</w:t>
      </w:r>
      <w:r>
        <w:rPr>
          <w:rFonts w:hint="eastAsia"/>
          <w:b/>
          <w:sz w:val="36"/>
          <w:szCs w:val="44"/>
          <w:lang w:val="en-US" w:eastAsia="zh-CN"/>
        </w:rPr>
        <w:t xml:space="preserve">   </w:t>
      </w:r>
      <w:r>
        <w:rPr>
          <w:rFonts w:hint="eastAsia"/>
          <w:b/>
          <w:sz w:val="36"/>
          <w:szCs w:val="44"/>
        </w:rPr>
        <w:t>人：</w:t>
      </w:r>
      <w:r>
        <w:rPr>
          <w:rFonts w:hint="eastAsia"/>
          <w:b/>
          <w:sz w:val="36"/>
          <w:szCs w:val="44"/>
          <w:lang w:eastAsia="zh-CN"/>
        </w:rPr>
        <w:t>郑州市蔬菜研究所</w:t>
      </w:r>
    </w:p>
    <w:p>
      <w:pPr>
        <w:widowControl/>
        <w:jc w:val="center"/>
        <w:rPr>
          <w:b/>
          <w:sz w:val="36"/>
          <w:szCs w:val="44"/>
        </w:rPr>
      </w:pPr>
      <w:r>
        <w:rPr>
          <w:rFonts w:hint="eastAsia"/>
          <w:b/>
          <w:sz w:val="36"/>
          <w:szCs w:val="44"/>
          <w:lang w:val="en-US" w:eastAsia="zh-CN"/>
        </w:rPr>
        <w:t xml:space="preserve">           </w:t>
      </w:r>
      <w:r>
        <w:rPr>
          <w:rFonts w:hint="eastAsia"/>
          <w:b/>
          <w:sz w:val="36"/>
          <w:szCs w:val="44"/>
        </w:rPr>
        <w:t>采购代理机构：河南省伟信招标管理咨询有限公司</w:t>
      </w:r>
    </w:p>
    <w:p>
      <w:pPr>
        <w:widowControl/>
        <w:jc w:val="center"/>
        <w:rPr>
          <w:b/>
          <w:sz w:val="36"/>
          <w:szCs w:val="44"/>
        </w:rPr>
      </w:pPr>
      <w:r>
        <w:rPr>
          <w:rFonts w:hint="eastAsia"/>
          <w:b/>
          <w:sz w:val="36"/>
          <w:szCs w:val="44"/>
          <w:lang w:val="en-US" w:eastAsia="zh-CN"/>
        </w:rPr>
        <w:t xml:space="preserve">     </w:t>
      </w:r>
      <w:r>
        <w:rPr>
          <w:rFonts w:hint="eastAsia"/>
          <w:b/>
          <w:sz w:val="36"/>
          <w:szCs w:val="44"/>
        </w:rPr>
        <w:t>日</w:t>
      </w:r>
      <w:r>
        <w:rPr>
          <w:rFonts w:hint="eastAsia"/>
          <w:b/>
          <w:sz w:val="36"/>
          <w:szCs w:val="44"/>
          <w:lang w:val="en-US" w:eastAsia="zh-CN"/>
        </w:rPr>
        <w:t xml:space="preserve">        </w:t>
      </w:r>
      <w:r>
        <w:rPr>
          <w:rFonts w:hint="eastAsia"/>
          <w:b/>
          <w:sz w:val="36"/>
          <w:szCs w:val="44"/>
        </w:rPr>
        <w:t>期：二</w:t>
      </w:r>
      <w:r>
        <w:rPr>
          <w:rFonts w:hint="eastAsia" w:asciiTheme="minorEastAsia" w:hAnsiTheme="minorEastAsia"/>
          <w:b/>
          <w:sz w:val="36"/>
          <w:szCs w:val="44"/>
        </w:rPr>
        <w:t>○</w:t>
      </w:r>
      <w:r>
        <w:rPr>
          <w:rFonts w:hint="eastAsia"/>
          <w:b/>
          <w:sz w:val="36"/>
          <w:szCs w:val="44"/>
        </w:rPr>
        <w:t>二</w:t>
      </w:r>
      <w:r>
        <w:rPr>
          <w:rFonts w:hint="eastAsia" w:asciiTheme="minorEastAsia" w:hAnsiTheme="minorEastAsia"/>
          <w:b/>
          <w:sz w:val="36"/>
          <w:szCs w:val="44"/>
        </w:rPr>
        <w:t>○</w:t>
      </w:r>
      <w:r>
        <w:rPr>
          <w:rFonts w:hint="eastAsia"/>
          <w:b/>
          <w:sz w:val="36"/>
          <w:szCs w:val="44"/>
        </w:rPr>
        <w:t>年</w:t>
      </w:r>
      <w:r>
        <w:rPr>
          <w:rFonts w:hint="eastAsia"/>
          <w:b/>
          <w:sz w:val="36"/>
          <w:szCs w:val="44"/>
          <w:lang w:val="en-US" w:eastAsia="zh-CN"/>
        </w:rPr>
        <w:t>八</w:t>
      </w:r>
      <w:r>
        <w:rPr>
          <w:rFonts w:hint="eastAsia"/>
          <w:b/>
          <w:sz w:val="36"/>
          <w:szCs w:val="44"/>
        </w:rPr>
        <w:t>月</w:t>
      </w:r>
    </w:p>
    <w:p>
      <w:pPr>
        <w:widowControl/>
        <w:jc w:val="left"/>
      </w:pPr>
      <w:r>
        <w:br w:type="page"/>
      </w:r>
    </w:p>
    <w:p>
      <w:pPr>
        <w:pStyle w:val="31"/>
        <w:tabs>
          <w:tab w:val="right" w:leader="dot" w:pos="8296"/>
        </w:tabs>
        <w:rPr>
          <w:kern w:val="2"/>
          <w:sz w:val="21"/>
        </w:rPr>
      </w:pPr>
      <w:r>
        <w:fldChar w:fldCharType="begin"/>
      </w:r>
      <w:r>
        <w:instrText xml:space="preserve"> TOC \o "1-3" \h \z \u </w:instrText>
      </w:r>
      <w:r>
        <w:fldChar w:fldCharType="separate"/>
      </w:r>
      <w:r>
        <w:fldChar w:fldCharType="begin"/>
      </w:r>
      <w:r>
        <w:instrText xml:space="preserve"> HYPERLINK \l "_Toc43371472" </w:instrText>
      </w:r>
      <w:r>
        <w:fldChar w:fldCharType="separate"/>
      </w:r>
      <w:r>
        <w:rPr>
          <w:rStyle w:val="56"/>
          <w:rFonts w:asciiTheme="minorEastAsia" w:hAnsiTheme="minorEastAsia"/>
          <w:color w:val="auto"/>
        </w:rPr>
        <w:t>第一章 竞争性磋商公告</w:t>
      </w:r>
      <w:r>
        <w:tab/>
      </w:r>
      <w:r>
        <w:fldChar w:fldCharType="begin"/>
      </w:r>
      <w:r>
        <w:instrText xml:space="preserve"> PAGEREF _Toc43371472 \h </w:instrText>
      </w:r>
      <w:r>
        <w:fldChar w:fldCharType="separate"/>
      </w:r>
      <w:r>
        <w:t>4</w:t>
      </w:r>
      <w:r>
        <w:fldChar w:fldCharType="end"/>
      </w:r>
      <w:r>
        <w:fldChar w:fldCharType="end"/>
      </w:r>
    </w:p>
    <w:p>
      <w:pPr>
        <w:pStyle w:val="31"/>
        <w:tabs>
          <w:tab w:val="right" w:leader="dot" w:pos="8296"/>
        </w:tabs>
        <w:rPr>
          <w:kern w:val="2"/>
          <w:sz w:val="21"/>
        </w:rPr>
      </w:pPr>
      <w:r>
        <w:fldChar w:fldCharType="begin"/>
      </w:r>
      <w:r>
        <w:instrText xml:space="preserve"> HYPERLINK \l "_Toc43371473" </w:instrText>
      </w:r>
      <w:r>
        <w:fldChar w:fldCharType="separate"/>
      </w:r>
      <w:r>
        <w:rPr>
          <w:rStyle w:val="56"/>
          <w:rFonts w:asciiTheme="minorEastAsia" w:hAnsiTheme="minorEastAsia"/>
          <w:color w:val="auto"/>
        </w:rPr>
        <w:t xml:space="preserve">第二章 </w:t>
      </w:r>
      <w:r>
        <w:rPr>
          <w:rStyle w:val="56"/>
          <w:rFonts w:hint="eastAsia" w:asciiTheme="minorEastAsia" w:hAnsiTheme="minorEastAsia"/>
          <w:color w:val="auto"/>
          <w:lang w:eastAsia="zh-CN"/>
        </w:rPr>
        <w:t>响应人</w:t>
      </w:r>
      <w:r>
        <w:rPr>
          <w:rStyle w:val="56"/>
          <w:rFonts w:asciiTheme="minorEastAsia" w:hAnsiTheme="minorEastAsia"/>
          <w:color w:val="auto"/>
        </w:rPr>
        <w:t>须知</w:t>
      </w:r>
      <w:r>
        <w:tab/>
      </w:r>
      <w:r>
        <w:fldChar w:fldCharType="begin"/>
      </w:r>
      <w:r>
        <w:instrText xml:space="preserve"> PAGEREF _Toc43371473 \h </w:instrText>
      </w:r>
      <w:r>
        <w:fldChar w:fldCharType="separate"/>
      </w:r>
      <w:r>
        <w:t>8</w:t>
      </w:r>
      <w:r>
        <w:fldChar w:fldCharType="end"/>
      </w:r>
      <w:r>
        <w:fldChar w:fldCharType="end"/>
      </w:r>
    </w:p>
    <w:p>
      <w:pPr>
        <w:pStyle w:val="36"/>
        <w:tabs>
          <w:tab w:val="right" w:leader="dot" w:pos="8296"/>
        </w:tabs>
        <w:rPr>
          <w:kern w:val="2"/>
          <w:sz w:val="21"/>
        </w:rPr>
      </w:pPr>
      <w:r>
        <w:fldChar w:fldCharType="begin"/>
      </w:r>
      <w:r>
        <w:instrText xml:space="preserve"> HYPERLINK \l "_Toc43371474" </w:instrText>
      </w:r>
      <w:r>
        <w:fldChar w:fldCharType="separate"/>
      </w:r>
      <w:r>
        <w:rPr>
          <w:rStyle w:val="56"/>
          <w:rFonts w:hint="eastAsia" w:asciiTheme="minorEastAsia" w:hAnsiTheme="minorEastAsia"/>
          <w:color w:val="auto"/>
          <w:lang w:eastAsia="zh-CN"/>
        </w:rPr>
        <w:t>响应人</w:t>
      </w:r>
      <w:r>
        <w:rPr>
          <w:rStyle w:val="56"/>
          <w:rFonts w:asciiTheme="minorEastAsia" w:hAnsiTheme="minorEastAsia"/>
          <w:color w:val="auto"/>
        </w:rPr>
        <w:t>须知</w:t>
      </w:r>
      <w:r>
        <w:tab/>
      </w:r>
      <w:r>
        <w:fldChar w:fldCharType="begin"/>
      </w:r>
      <w:r>
        <w:instrText xml:space="preserve"> PAGEREF _Toc43371474 \h </w:instrText>
      </w:r>
      <w:r>
        <w:fldChar w:fldCharType="separate"/>
      </w:r>
      <w:r>
        <w:t>13</w:t>
      </w:r>
      <w:r>
        <w:fldChar w:fldCharType="end"/>
      </w:r>
      <w:r>
        <w:fldChar w:fldCharType="end"/>
      </w:r>
    </w:p>
    <w:p>
      <w:pPr>
        <w:pStyle w:val="23"/>
        <w:tabs>
          <w:tab w:val="right" w:leader="dot" w:pos="8296"/>
        </w:tabs>
        <w:rPr>
          <w:kern w:val="2"/>
          <w:sz w:val="21"/>
        </w:rPr>
      </w:pPr>
      <w:r>
        <w:fldChar w:fldCharType="begin"/>
      </w:r>
      <w:r>
        <w:instrText xml:space="preserve"> HYPERLINK \l "_Toc43371475" </w:instrText>
      </w:r>
      <w:r>
        <w:fldChar w:fldCharType="separate"/>
      </w:r>
      <w:r>
        <w:rPr>
          <w:rStyle w:val="56"/>
          <w:rFonts w:asciiTheme="minorEastAsia" w:hAnsiTheme="minorEastAsia"/>
          <w:color w:val="auto"/>
        </w:rPr>
        <w:t>1.  总则</w:t>
      </w:r>
      <w:r>
        <w:tab/>
      </w:r>
      <w:r>
        <w:fldChar w:fldCharType="begin"/>
      </w:r>
      <w:r>
        <w:instrText xml:space="preserve"> PAGEREF _Toc43371475 \h </w:instrText>
      </w:r>
      <w:r>
        <w:fldChar w:fldCharType="separate"/>
      </w:r>
      <w:r>
        <w:t>13</w:t>
      </w:r>
      <w:r>
        <w:fldChar w:fldCharType="end"/>
      </w:r>
      <w:r>
        <w:fldChar w:fldCharType="end"/>
      </w:r>
    </w:p>
    <w:p>
      <w:pPr>
        <w:pStyle w:val="23"/>
        <w:tabs>
          <w:tab w:val="right" w:leader="dot" w:pos="8296"/>
        </w:tabs>
        <w:rPr>
          <w:kern w:val="2"/>
          <w:sz w:val="21"/>
        </w:rPr>
      </w:pPr>
      <w:r>
        <w:fldChar w:fldCharType="begin"/>
      </w:r>
      <w:r>
        <w:instrText xml:space="preserve"> HYPERLINK \l "_Toc43371476" </w:instrText>
      </w:r>
      <w:r>
        <w:fldChar w:fldCharType="separate"/>
      </w:r>
      <w:r>
        <w:rPr>
          <w:rStyle w:val="56"/>
          <w:color w:val="auto"/>
        </w:rPr>
        <w:t>2.  竞争性磋商文件</w:t>
      </w:r>
      <w:r>
        <w:tab/>
      </w:r>
      <w:r>
        <w:fldChar w:fldCharType="begin"/>
      </w:r>
      <w:r>
        <w:instrText xml:space="preserve"> PAGEREF _Toc43371476 \h </w:instrText>
      </w:r>
      <w:r>
        <w:fldChar w:fldCharType="separate"/>
      </w:r>
      <w:r>
        <w:t>15</w:t>
      </w:r>
      <w:r>
        <w:fldChar w:fldCharType="end"/>
      </w:r>
      <w:r>
        <w:fldChar w:fldCharType="end"/>
      </w:r>
    </w:p>
    <w:p>
      <w:pPr>
        <w:pStyle w:val="23"/>
        <w:tabs>
          <w:tab w:val="right" w:leader="dot" w:pos="8296"/>
        </w:tabs>
        <w:rPr>
          <w:kern w:val="2"/>
          <w:sz w:val="21"/>
        </w:rPr>
      </w:pPr>
      <w:r>
        <w:fldChar w:fldCharType="begin"/>
      </w:r>
      <w:r>
        <w:instrText xml:space="preserve"> HYPERLINK \l "_Toc43371477" </w:instrText>
      </w:r>
      <w:r>
        <w:fldChar w:fldCharType="separate"/>
      </w:r>
      <w:r>
        <w:rPr>
          <w:rStyle w:val="56"/>
          <w:color w:val="auto"/>
        </w:rPr>
        <w:t>3.  响应文件</w:t>
      </w:r>
      <w:r>
        <w:tab/>
      </w:r>
      <w:r>
        <w:fldChar w:fldCharType="begin"/>
      </w:r>
      <w:r>
        <w:instrText xml:space="preserve"> PAGEREF _Toc43371477 \h </w:instrText>
      </w:r>
      <w:r>
        <w:fldChar w:fldCharType="separate"/>
      </w:r>
      <w:r>
        <w:t>16</w:t>
      </w:r>
      <w:r>
        <w:fldChar w:fldCharType="end"/>
      </w:r>
      <w:r>
        <w:fldChar w:fldCharType="end"/>
      </w:r>
    </w:p>
    <w:p>
      <w:pPr>
        <w:pStyle w:val="23"/>
        <w:tabs>
          <w:tab w:val="right" w:leader="dot" w:pos="8296"/>
        </w:tabs>
        <w:rPr>
          <w:kern w:val="2"/>
          <w:sz w:val="21"/>
        </w:rPr>
      </w:pPr>
      <w:r>
        <w:fldChar w:fldCharType="begin"/>
      </w:r>
      <w:r>
        <w:instrText xml:space="preserve"> HYPERLINK \l "_Toc43371478" </w:instrText>
      </w:r>
      <w:r>
        <w:fldChar w:fldCharType="separate"/>
      </w:r>
      <w:r>
        <w:rPr>
          <w:rStyle w:val="56"/>
          <w:color w:val="auto"/>
        </w:rPr>
        <w:t>4.  磋商</w:t>
      </w:r>
      <w:r>
        <w:tab/>
      </w:r>
      <w:r>
        <w:fldChar w:fldCharType="begin"/>
      </w:r>
      <w:r>
        <w:instrText xml:space="preserve"> PAGEREF _Toc43371478 \h </w:instrText>
      </w:r>
      <w:r>
        <w:fldChar w:fldCharType="separate"/>
      </w:r>
      <w:r>
        <w:t>18</w:t>
      </w:r>
      <w:r>
        <w:fldChar w:fldCharType="end"/>
      </w:r>
      <w:r>
        <w:fldChar w:fldCharType="end"/>
      </w:r>
    </w:p>
    <w:p>
      <w:pPr>
        <w:pStyle w:val="23"/>
        <w:tabs>
          <w:tab w:val="right" w:leader="dot" w:pos="8296"/>
        </w:tabs>
        <w:rPr>
          <w:kern w:val="2"/>
          <w:sz w:val="21"/>
        </w:rPr>
      </w:pPr>
      <w:r>
        <w:fldChar w:fldCharType="begin"/>
      </w:r>
      <w:r>
        <w:instrText xml:space="preserve"> HYPERLINK \l "_Toc43371479" </w:instrText>
      </w:r>
      <w:r>
        <w:fldChar w:fldCharType="separate"/>
      </w:r>
      <w:r>
        <w:rPr>
          <w:rStyle w:val="56"/>
          <w:color w:val="auto"/>
        </w:rPr>
        <w:t>5.  开标</w:t>
      </w:r>
      <w:r>
        <w:tab/>
      </w:r>
      <w:r>
        <w:fldChar w:fldCharType="begin"/>
      </w:r>
      <w:r>
        <w:instrText xml:space="preserve"> PAGEREF _Toc43371479 \h </w:instrText>
      </w:r>
      <w:r>
        <w:fldChar w:fldCharType="separate"/>
      </w:r>
      <w:r>
        <w:t>18</w:t>
      </w:r>
      <w:r>
        <w:fldChar w:fldCharType="end"/>
      </w:r>
      <w:r>
        <w:fldChar w:fldCharType="end"/>
      </w:r>
    </w:p>
    <w:p>
      <w:pPr>
        <w:pStyle w:val="23"/>
        <w:tabs>
          <w:tab w:val="right" w:leader="dot" w:pos="8296"/>
        </w:tabs>
        <w:rPr>
          <w:kern w:val="2"/>
          <w:sz w:val="21"/>
        </w:rPr>
      </w:pPr>
      <w:r>
        <w:fldChar w:fldCharType="begin"/>
      </w:r>
      <w:r>
        <w:instrText xml:space="preserve"> HYPERLINK \l "_Toc43371480" </w:instrText>
      </w:r>
      <w:r>
        <w:fldChar w:fldCharType="separate"/>
      </w:r>
      <w:r>
        <w:rPr>
          <w:rStyle w:val="56"/>
          <w:color w:val="auto"/>
        </w:rPr>
        <w:t>6.  磋商</w:t>
      </w:r>
      <w:r>
        <w:tab/>
      </w:r>
      <w:r>
        <w:fldChar w:fldCharType="begin"/>
      </w:r>
      <w:r>
        <w:instrText xml:space="preserve"> PAGEREF _Toc43371480 \h </w:instrText>
      </w:r>
      <w:r>
        <w:fldChar w:fldCharType="separate"/>
      </w:r>
      <w:r>
        <w:t>19</w:t>
      </w:r>
      <w:r>
        <w:fldChar w:fldCharType="end"/>
      </w:r>
      <w:r>
        <w:fldChar w:fldCharType="end"/>
      </w:r>
    </w:p>
    <w:p>
      <w:pPr>
        <w:pStyle w:val="23"/>
        <w:tabs>
          <w:tab w:val="right" w:leader="dot" w:pos="8296"/>
        </w:tabs>
        <w:rPr>
          <w:kern w:val="2"/>
          <w:sz w:val="21"/>
        </w:rPr>
      </w:pPr>
      <w:r>
        <w:fldChar w:fldCharType="begin"/>
      </w:r>
      <w:r>
        <w:instrText xml:space="preserve"> HYPERLINK \l "_Toc43371481" </w:instrText>
      </w:r>
      <w:r>
        <w:fldChar w:fldCharType="separate"/>
      </w:r>
      <w:r>
        <w:rPr>
          <w:rStyle w:val="56"/>
          <w:color w:val="auto"/>
        </w:rPr>
        <w:t>7.  合同授予</w:t>
      </w:r>
      <w:r>
        <w:tab/>
      </w:r>
      <w:r>
        <w:fldChar w:fldCharType="begin"/>
      </w:r>
      <w:r>
        <w:instrText xml:space="preserve"> PAGEREF _Toc43371481 \h </w:instrText>
      </w:r>
      <w:r>
        <w:fldChar w:fldCharType="separate"/>
      </w:r>
      <w:r>
        <w:t>21</w:t>
      </w:r>
      <w:r>
        <w:fldChar w:fldCharType="end"/>
      </w:r>
      <w:r>
        <w:fldChar w:fldCharType="end"/>
      </w:r>
    </w:p>
    <w:p>
      <w:pPr>
        <w:pStyle w:val="23"/>
        <w:tabs>
          <w:tab w:val="right" w:leader="dot" w:pos="8296"/>
        </w:tabs>
        <w:rPr>
          <w:kern w:val="2"/>
          <w:sz w:val="21"/>
        </w:rPr>
      </w:pPr>
      <w:r>
        <w:fldChar w:fldCharType="begin"/>
      </w:r>
      <w:r>
        <w:instrText xml:space="preserve"> HYPERLINK \l "_Toc43371482" </w:instrText>
      </w:r>
      <w:r>
        <w:fldChar w:fldCharType="separate"/>
      </w:r>
      <w:r>
        <w:rPr>
          <w:rStyle w:val="56"/>
          <w:color w:val="auto"/>
        </w:rPr>
        <w:t>8.纪律和监督</w:t>
      </w:r>
      <w:r>
        <w:tab/>
      </w:r>
      <w:r>
        <w:fldChar w:fldCharType="begin"/>
      </w:r>
      <w:r>
        <w:instrText xml:space="preserve"> PAGEREF _Toc43371482 \h </w:instrText>
      </w:r>
      <w:r>
        <w:fldChar w:fldCharType="separate"/>
      </w:r>
      <w:r>
        <w:t>23</w:t>
      </w:r>
      <w:r>
        <w:fldChar w:fldCharType="end"/>
      </w:r>
      <w:r>
        <w:fldChar w:fldCharType="end"/>
      </w:r>
    </w:p>
    <w:p>
      <w:pPr>
        <w:pStyle w:val="23"/>
        <w:tabs>
          <w:tab w:val="right" w:leader="dot" w:pos="8296"/>
        </w:tabs>
        <w:rPr>
          <w:kern w:val="2"/>
          <w:sz w:val="21"/>
        </w:rPr>
      </w:pPr>
      <w:r>
        <w:fldChar w:fldCharType="begin"/>
      </w:r>
      <w:r>
        <w:instrText xml:space="preserve"> HYPERLINK \l "_Toc43371483" </w:instrText>
      </w:r>
      <w:r>
        <w:fldChar w:fldCharType="separate"/>
      </w:r>
      <w:r>
        <w:rPr>
          <w:rStyle w:val="56"/>
          <w:color w:val="auto"/>
        </w:rPr>
        <w:t>9.  是否采用电子招标投标</w:t>
      </w:r>
      <w:r>
        <w:tab/>
      </w:r>
      <w:r>
        <w:fldChar w:fldCharType="begin"/>
      </w:r>
      <w:r>
        <w:instrText xml:space="preserve"> PAGEREF _Toc43371483 \h </w:instrText>
      </w:r>
      <w:r>
        <w:fldChar w:fldCharType="separate"/>
      </w:r>
      <w:r>
        <w:t>24</w:t>
      </w:r>
      <w:r>
        <w:fldChar w:fldCharType="end"/>
      </w:r>
      <w:r>
        <w:fldChar w:fldCharType="end"/>
      </w:r>
    </w:p>
    <w:p>
      <w:pPr>
        <w:pStyle w:val="23"/>
        <w:tabs>
          <w:tab w:val="right" w:leader="dot" w:pos="8296"/>
        </w:tabs>
        <w:rPr>
          <w:kern w:val="2"/>
          <w:sz w:val="21"/>
        </w:rPr>
      </w:pPr>
      <w:r>
        <w:fldChar w:fldCharType="begin"/>
      </w:r>
      <w:r>
        <w:instrText xml:space="preserve"> HYPERLINK \l "_Toc43371484" </w:instrText>
      </w:r>
      <w:r>
        <w:fldChar w:fldCharType="separate"/>
      </w:r>
      <w:r>
        <w:rPr>
          <w:rStyle w:val="56"/>
          <w:color w:val="auto"/>
        </w:rPr>
        <w:t>10.  需要补充的其他内容</w:t>
      </w:r>
      <w:r>
        <w:tab/>
      </w:r>
      <w:r>
        <w:fldChar w:fldCharType="begin"/>
      </w:r>
      <w:r>
        <w:instrText xml:space="preserve"> PAGEREF _Toc43371484 \h </w:instrText>
      </w:r>
      <w:r>
        <w:fldChar w:fldCharType="separate"/>
      </w:r>
      <w:r>
        <w:t>24</w:t>
      </w:r>
      <w:r>
        <w:fldChar w:fldCharType="end"/>
      </w:r>
      <w:r>
        <w:fldChar w:fldCharType="end"/>
      </w:r>
    </w:p>
    <w:p>
      <w:pPr>
        <w:pStyle w:val="23"/>
        <w:tabs>
          <w:tab w:val="right" w:leader="dot" w:pos="8296"/>
        </w:tabs>
        <w:rPr>
          <w:kern w:val="2"/>
          <w:sz w:val="21"/>
        </w:rPr>
      </w:pPr>
      <w:r>
        <w:fldChar w:fldCharType="begin"/>
      </w:r>
      <w:r>
        <w:instrText xml:space="preserve"> HYPERLINK \l "_Toc43371485" </w:instrText>
      </w:r>
      <w:r>
        <w:fldChar w:fldCharType="separate"/>
      </w:r>
      <w:r>
        <w:rPr>
          <w:rStyle w:val="56"/>
          <w:color w:val="auto"/>
        </w:rPr>
        <w:t>附件1：质疑函格式（统一格式，需提供原件）</w:t>
      </w:r>
      <w:r>
        <w:tab/>
      </w:r>
      <w:r>
        <w:fldChar w:fldCharType="begin"/>
      </w:r>
      <w:r>
        <w:instrText xml:space="preserve"> PAGEREF _Toc43371485 \h </w:instrText>
      </w:r>
      <w:r>
        <w:fldChar w:fldCharType="separate"/>
      </w:r>
      <w:r>
        <w:t>25</w:t>
      </w:r>
      <w:r>
        <w:fldChar w:fldCharType="end"/>
      </w:r>
      <w:r>
        <w:fldChar w:fldCharType="end"/>
      </w:r>
    </w:p>
    <w:p>
      <w:pPr>
        <w:pStyle w:val="23"/>
        <w:tabs>
          <w:tab w:val="right" w:leader="dot" w:pos="8296"/>
        </w:tabs>
        <w:rPr>
          <w:kern w:val="2"/>
          <w:sz w:val="21"/>
        </w:rPr>
      </w:pPr>
      <w:r>
        <w:fldChar w:fldCharType="begin"/>
      </w:r>
      <w:r>
        <w:instrText xml:space="preserve"> HYPERLINK \l "_Toc43371486" </w:instrText>
      </w:r>
      <w:r>
        <w:fldChar w:fldCharType="separate"/>
      </w:r>
      <w:r>
        <w:rPr>
          <w:rStyle w:val="56"/>
          <w:color w:val="auto"/>
        </w:rPr>
        <w:t>附件2：履约保证金保函（格式）</w:t>
      </w:r>
      <w:r>
        <w:tab/>
      </w:r>
      <w:r>
        <w:fldChar w:fldCharType="begin"/>
      </w:r>
      <w:r>
        <w:instrText xml:space="preserve"> PAGEREF _Toc43371486 \h </w:instrText>
      </w:r>
      <w:r>
        <w:fldChar w:fldCharType="separate"/>
      </w:r>
      <w:r>
        <w:t>27</w:t>
      </w:r>
      <w:r>
        <w:fldChar w:fldCharType="end"/>
      </w:r>
      <w:r>
        <w:fldChar w:fldCharType="end"/>
      </w:r>
    </w:p>
    <w:p>
      <w:pPr>
        <w:pStyle w:val="23"/>
        <w:tabs>
          <w:tab w:val="right" w:leader="dot" w:pos="8296"/>
        </w:tabs>
        <w:rPr>
          <w:kern w:val="2"/>
          <w:sz w:val="21"/>
        </w:rPr>
      </w:pPr>
      <w:r>
        <w:fldChar w:fldCharType="begin"/>
      </w:r>
      <w:r>
        <w:instrText xml:space="preserve"> HYPERLINK \l "_Toc43371487" </w:instrText>
      </w:r>
      <w:r>
        <w:fldChar w:fldCharType="separate"/>
      </w:r>
      <w:r>
        <w:rPr>
          <w:rStyle w:val="56"/>
          <w:color w:val="auto"/>
        </w:rPr>
        <w:t>附件3：履约担保函格式</w:t>
      </w:r>
      <w:r>
        <w:tab/>
      </w:r>
      <w:r>
        <w:fldChar w:fldCharType="begin"/>
      </w:r>
      <w:r>
        <w:instrText xml:space="preserve"> PAGEREF _Toc43371487 \h </w:instrText>
      </w:r>
      <w:r>
        <w:fldChar w:fldCharType="separate"/>
      </w:r>
      <w:r>
        <w:t>28</w:t>
      </w:r>
      <w:r>
        <w:fldChar w:fldCharType="end"/>
      </w:r>
      <w:r>
        <w:fldChar w:fldCharType="end"/>
      </w:r>
    </w:p>
    <w:p>
      <w:pPr>
        <w:pStyle w:val="31"/>
        <w:tabs>
          <w:tab w:val="right" w:leader="dot" w:pos="8296"/>
        </w:tabs>
        <w:rPr>
          <w:kern w:val="2"/>
          <w:sz w:val="21"/>
        </w:rPr>
      </w:pPr>
      <w:r>
        <w:fldChar w:fldCharType="begin"/>
      </w:r>
      <w:r>
        <w:instrText xml:space="preserve"> HYPERLINK \l "_Toc43371488" </w:instrText>
      </w:r>
      <w:r>
        <w:fldChar w:fldCharType="separate"/>
      </w:r>
      <w:r>
        <w:rPr>
          <w:rStyle w:val="56"/>
          <w:rFonts w:asciiTheme="minorEastAsia" w:hAnsiTheme="minorEastAsia"/>
          <w:color w:val="auto"/>
        </w:rPr>
        <w:t>第三章 评分办法</w:t>
      </w:r>
      <w:r>
        <w:tab/>
      </w:r>
      <w:r>
        <w:fldChar w:fldCharType="begin"/>
      </w:r>
      <w:r>
        <w:instrText xml:space="preserve"> PAGEREF _Toc43371488 \h </w:instrText>
      </w:r>
      <w:r>
        <w:fldChar w:fldCharType="separate"/>
      </w:r>
      <w:r>
        <w:t>31</w:t>
      </w:r>
      <w:r>
        <w:fldChar w:fldCharType="end"/>
      </w:r>
      <w:r>
        <w:fldChar w:fldCharType="end"/>
      </w:r>
    </w:p>
    <w:p>
      <w:pPr>
        <w:pStyle w:val="36"/>
        <w:tabs>
          <w:tab w:val="right" w:leader="dot" w:pos="8296"/>
        </w:tabs>
        <w:rPr>
          <w:kern w:val="2"/>
          <w:sz w:val="21"/>
        </w:rPr>
      </w:pPr>
      <w:r>
        <w:fldChar w:fldCharType="begin"/>
      </w:r>
      <w:r>
        <w:instrText xml:space="preserve"> HYPERLINK \l "_Toc43371489" </w:instrText>
      </w:r>
      <w:r>
        <w:fldChar w:fldCharType="separate"/>
      </w:r>
      <w:r>
        <w:rPr>
          <w:rStyle w:val="56"/>
          <w:color w:val="auto"/>
        </w:rPr>
        <w:t>评分办法前附表</w:t>
      </w:r>
      <w:r>
        <w:tab/>
      </w:r>
      <w:r>
        <w:fldChar w:fldCharType="begin"/>
      </w:r>
      <w:r>
        <w:instrText xml:space="preserve"> PAGEREF _Toc43371489 \h </w:instrText>
      </w:r>
      <w:r>
        <w:fldChar w:fldCharType="separate"/>
      </w:r>
      <w:r>
        <w:t>31</w:t>
      </w:r>
      <w:r>
        <w:fldChar w:fldCharType="end"/>
      </w:r>
      <w:r>
        <w:fldChar w:fldCharType="end"/>
      </w:r>
    </w:p>
    <w:p>
      <w:pPr>
        <w:pStyle w:val="31"/>
        <w:tabs>
          <w:tab w:val="right" w:leader="dot" w:pos="8296"/>
        </w:tabs>
        <w:rPr>
          <w:kern w:val="2"/>
          <w:sz w:val="21"/>
        </w:rPr>
      </w:pPr>
      <w:r>
        <w:fldChar w:fldCharType="begin"/>
      </w:r>
      <w:r>
        <w:instrText xml:space="preserve"> HYPERLINK \l "_Toc43371490" </w:instrText>
      </w:r>
      <w:r>
        <w:fldChar w:fldCharType="separate"/>
      </w:r>
      <w:r>
        <w:rPr>
          <w:rStyle w:val="56"/>
          <w:rFonts w:asciiTheme="minorEastAsia" w:hAnsiTheme="minorEastAsia"/>
          <w:color w:val="auto"/>
        </w:rPr>
        <w:t>第四章 合同格式及合同条款</w:t>
      </w:r>
      <w:r>
        <w:tab/>
      </w:r>
      <w:r>
        <w:fldChar w:fldCharType="begin"/>
      </w:r>
      <w:r>
        <w:instrText xml:space="preserve"> PAGEREF _Toc43371490 \h </w:instrText>
      </w:r>
      <w:r>
        <w:fldChar w:fldCharType="separate"/>
      </w:r>
      <w:r>
        <w:t>36</w:t>
      </w:r>
      <w:r>
        <w:fldChar w:fldCharType="end"/>
      </w:r>
      <w:r>
        <w:fldChar w:fldCharType="end"/>
      </w:r>
    </w:p>
    <w:p>
      <w:pPr>
        <w:pStyle w:val="31"/>
        <w:tabs>
          <w:tab w:val="right" w:leader="dot" w:pos="8296"/>
        </w:tabs>
        <w:rPr>
          <w:kern w:val="2"/>
          <w:sz w:val="21"/>
        </w:rPr>
      </w:pPr>
      <w:r>
        <w:fldChar w:fldCharType="begin"/>
      </w:r>
      <w:r>
        <w:instrText xml:space="preserve"> HYPERLINK \l "_Toc43371491" </w:instrText>
      </w:r>
      <w:r>
        <w:fldChar w:fldCharType="separate"/>
      </w:r>
      <w:r>
        <w:rPr>
          <w:rStyle w:val="56"/>
          <w:color w:val="auto"/>
        </w:rPr>
        <w:t>第五章工程量清单</w:t>
      </w:r>
      <w:r>
        <w:tab/>
      </w:r>
      <w:r>
        <w:fldChar w:fldCharType="begin"/>
      </w:r>
      <w:r>
        <w:instrText xml:space="preserve"> PAGEREF _Toc43371491 \h </w:instrText>
      </w:r>
      <w:r>
        <w:fldChar w:fldCharType="separate"/>
      </w:r>
      <w:r>
        <w:t>39</w:t>
      </w:r>
      <w:r>
        <w:fldChar w:fldCharType="end"/>
      </w:r>
      <w:r>
        <w:fldChar w:fldCharType="end"/>
      </w:r>
    </w:p>
    <w:p>
      <w:pPr>
        <w:pStyle w:val="31"/>
        <w:tabs>
          <w:tab w:val="right" w:leader="dot" w:pos="8296"/>
        </w:tabs>
        <w:rPr>
          <w:kern w:val="2"/>
          <w:sz w:val="21"/>
        </w:rPr>
      </w:pPr>
      <w:r>
        <w:fldChar w:fldCharType="begin"/>
      </w:r>
      <w:r>
        <w:instrText xml:space="preserve"> HYPERLINK \l "_Toc43371492" </w:instrText>
      </w:r>
      <w:r>
        <w:fldChar w:fldCharType="separate"/>
      </w:r>
      <w:r>
        <w:rPr>
          <w:rStyle w:val="56"/>
          <w:rFonts w:asciiTheme="minorEastAsia" w:hAnsiTheme="minorEastAsia"/>
          <w:color w:val="auto"/>
        </w:rPr>
        <w:t>第六章 响应文件格式</w:t>
      </w:r>
      <w:r>
        <w:tab/>
      </w:r>
      <w:r>
        <w:fldChar w:fldCharType="begin"/>
      </w:r>
      <w:r>
        <w:instrText xml:space="preserve"> PAGEREF _Toc43371492 \h </w:instrText>
      </w:r>
      <w:r>
        <w:fldChar w:fldCharType="separate"/>
      </w:r>
      <w:r>
        <w:t>63</w:t>
      </w:r>
      <w:r>
        <w:fldChar w:fldCharType="end"/>
      </w:r>
      <w:r>
        <w:fldChar w:fldCharType="end"/>
      </w:r>
    </w:p>
    <w:p>
      <w:pPr>
        <w:pStyle w:val="36"/>
        <w:tabs>
          <w:tab w:val="right" w:leader="dot" w:pos="8296"/>
        </w:tabs>
        <w:rPr>
          <w:kern w:val="2"/>
          <w:sz w:val="21"/>
        </w:rPr>
      </w:pPr>
      <w:r>
        <w:fldChar w:fldCharType="begin"/>
      </w:r>
      <w:r>
        <w:instrText xml:space="preserve"> HYPERLINK \l "_Toc43371493" </w:instrText>
      </w:r>
      <w:r>
        <w:fldChar w:fldCharType="separate"/>
      </w:r>
      <w:r>
        <w:rPr>
          <w:rStyle w:val="56"/>
          <w:rFonts w:ascii="宋体" w:hAnsi="宋体" w:eastAsia="宋体"/>
          <w:color w:val="auto"/>
        </w:rPr>
        <w:t>目    录</w:t>
      </w:r>
      <w:r>
        <w:tab/>
      </w:r>
      <w:r>
        <w:fldChar w:fldCharType="begin"/>
      </w:r>
      <w:r>
        <w:instrText xml:space="preserve"> PAGEREF _Toc43371493 \h </w:instrText>
      </w:r>
      <w:r>
        <w:fldChar w:fldCharType="separate"/>
      </w:r>
      <w:r>
        <w:t>64</w:t>
      </w:r>
      <w:r>
        <w:fldChar w:fldCharType="end"/>
      </w:r>
      <w:r>
        <w:fldChar w:fldCharType="end"/>
      </w:r>
    </w:p>
    <w:p>
      <w:pPr>
        <w:pStyle w:val="36"/>
        <w:tabs>
          <w:tab w:val="right" w:leader="dot" w:pos="8296"/>
        </w:tabs>
        <w:rPr>
          <w:kern w:val="2"/>
          <w:sz w:val="21"/>
        </w:rPr>
      </w:pPr>
      <w:r>
        <w:fldChar w:fldCharType="begin"/>
      </w:r>
      <w:r>
        <w:instrText xml:space="preserve"> HYPERLINK \l "_Toc43371494" </w:instrText>
      </w:r>
      <w:r>
        <w:fldChar w:fldCharType="separate"/>
      </w:r>
      <w:r>
        <w:rPr>
          <w:rStyle w:val="56"/>
          <w:color w:val="auto"/>
        </w:rPr>
        <w:t>一、磋商函及磋商函附录</w:t>
      </w:r>
      <w:r>
        <w:tab/>
      </w:r>
      <w:r>
        <w:fldChar w:fldCharType="begin"/>
      </w:r>
      <w:r>
        <w:instrText xml:space="preserve"> PAGEREF _Toc43371494 \h </w:instrText>
      </w:r>
      <w:r>
        <w:fldChar w:fldCharType="separate"/>
      </w:r>
      <w:r>
        <w:t>65</w:t>
      </w:r>
      <w:r>
        <w:fldChar w:fldCharType="end"/>
      </w:r>
      <w:r>
        <w:fldChar w:fldCharType="end"/>
      </w:r>
    </w:p>
    <w:p>
      <w:pPr>
        <w:pStyle w:val="23"/>
        <w:tabs>
          <w:tab w:val="right" w:leader="dot" w:pos="8296"/>
        </w:tabs>
        <w:rPr>
          <w:kern w:val="2"/>
          <w:sz w:val="21"/>
        </w:rPr>
      </w:pPr>
      <w:r>
        <w:fldChar w:fldCharType="begin"/>
      </w:r>
      <w:r>
        <w:instrText xml:space="preserve"> HYPERLINK \l "_Toc43371495" </w:instrText>
      </w:r>
      <w:r>
        <w:fldChar w:fldCharType="separate"/>
      </w:r>
      <w:r>
        <w:rPr>
          <w:rStyle w:val="56"/>
          <w:color w:val="auto"/>
        </w:rPr>
        <w:t>（一）磋商函</w:t>
      </w:r>
      <w:r>
        <w:tab/>
      </w:r>
      <w:r>
        <w:fldChar w:fldCharType="begin"/>
      </w:r>
      <w:r>
        <w:instrText xml:space="preserve"> PAGEREF _Toc43371495 \h </w:instrText>
      </w:r>
      <w:r>
        <w:fldChar w:fldCharType="separate"/>
      </w:r>
      <w:r>
        <w:t>65</w:t>
      </w:r>
      <w:r>
        <w:fldChar w:fldCharType="end"/>
      </w:r>
      <w:r>
        <w:fldChar w:fldCharType="end"/>
      </w:r>
    </w:p>
    <w:p>
      <w:pPr>
        <w:pStyle w:val="23"/>
        <w:tabs>
          <w:tab w:val="right" w:leader="dot" w:pos="8296"/>
        </w:tabs>
        <w:rPr>
          <w:kern w:val="2"/>
          <w:sz w:val="21"/>
        </w:rPr>
      </w:pPr>
      <w:r>
        <w:fldChar w:fldCharType="begin"/>
      </w:r>
      <w:r>
        <w:instrText xml:space="preserve"> HYPERLINK \l "_Toc43371496" </w:instrText>
      </w:r>
      <w:r>
        <w:fldChar w:fldCharType="separate"/>
      </w:r>
      <w:r>
        <w:rPr>
          <w:rStyle w:val="56"/>
          <w:color w:val="auto"/>
        </w:rPr>
        <w:t>（二）磋商函附录</w:t>
      </w:r>
      <w:r>
        <w:tab/>
      </w:r>
      <w:r>
        <w:fldChar w:fldCharType="begin"/>
      </w:r>
      <w:r>
        <w:instrText xml:space="preserve"> PAGEREF _Toc43371496 \h </w:instrText>
      </w:r>
      <w:r>
        <w:fldChar w:fldCharType="separate"/>
      </w:r>
      <w:r>
        <w:t>66</w:t>
      </w:r>
      <w:r>
        <w:fldChar w:fldCharType="end"/>
      </w:r>
      <w:r>
        <w:fldChar w:fldCharType="end"/>
      </w:r>
    </w:p>
    <w:p>
      <w:pPr>
        <w:pStyle w:val="36"/>
        <w:tabs>
          <w:tab w:val="right" w:leader="dot" w:pos="8296"/>
        </w:tabs>
        <w:rPr>
          <w:kern w:val="2"/>
          <w:sz w:val="21"/>
        </w:rPr>
      </w:pPr>
      <w:r>
        <w:fldChar w:fldCharType="begin"/>
      </w:r>
      <w:r>
        <w:instrText xml:space="preserve"> HYPERLINK \l "_Toc43371497" </w:instrText>
      </w:r>
      <w:r>
        <w:fldChar w:fldCharType="separate"/>
      </w:r>
      <w:r>
        <w:rPr>
          <w:rStyle w:val="56"/>
          <w:color w:val="auto"/>
        </w:rPr>
        <w:t>二、法定代表人身份证明</w:t>
      </w:r>
      <w:r>
        <w:tab/>
      </w:r>
      <w:r>
        <w:fldChar w:fldCharType="begin"/>
      </w:r>
      <w:r>
        <w:instrText xml:space="preserve"> PAGEREF _Toc43371497 \h </w:instrText>
      </w:r>
      <w:r>
        <w:fldChar w:fldCharType="separate"/>
      </w:r>
      <w:r>
        <w:t>67</w:t>
      </w:r>
      <w:r>
        <w:fldChar w:fldCharType="end"/>
      </w:r>
      <w:r>
        <w:fldChar w:fldCharType="end"/>
      </w:r>
    </w:p>
    <w:p>
      <w:pPr>
        <w:pStyle w:val="36"/>
        <w:tabs>
          <w:tab w:val="right" w:leader="dot" w:pos="8296"/>
        </w:tabs>
        <w:rPr>
          <w:kern w:val="2"/>
          <w:sz w:val="21"/>
        </w:rPr>
      </w:pPr>
      <w:r>
        <w:fldChar w:fldCharType="begin"/>
      </w:r>
      <w:r>
        <w:instrText xml:space="preserve"> HYPERLINK \l "_Toc43371498" </w:instrText>
      </w:r>
      <w:r>
        <w:fldChar w:fldCharType="separate"/>
      </w:r>
      <w:r>
        <w:rPr>
          <w:rStyle w:val="56"/>
          <w:color w:val="auto"/>
        </w:rPr>
        <w:t>三、授权委托书</w:t>
      </w:r>
      <w:r>
        <w:tab/>
      </w:r>
      <w:r>
        <w:fldChar w:fldCharType="begin"/>
      </w:r>
      <w:r>
        <w:instrText xml:space="preserve"> PAGEREF _Toc43371498 \h </w:instrText>
      </w:r>
      <w:r>
        <w:fldChar w:fldCharType="separate"/>
      </w:r>
      <w:r>
        <w:t>68</w:t>
      </w:r>
      <w:r>
        <w:fldChar w:fldCharType="end"/>
      </w:r>
      <w:r>
        <w:fldChar w:fldCharType="end"/>
      </w:r>
    </w:p>
    <w:p>
      <w:pPr>
        <w:pStyle w:val="36"/>
        <w:tabs>
          <w:tab w:val="right" w:leader="dot" w:pos="8296"/>
        </w:tabs>
        <w:rPr>
          <w:kern w:val="2"/>
          <w:sz w:val="21"/>
        </w:rPr>
      </w:pPr>
      <w:r>
        <w:fldChar w:fldCharType="begin"/>
      </w:r>
      <w:r>
        <w:instrText xml:space="preserve"> HYPERLINK \l "_Toc43371499" </w:instrText>
      </w:r>
      <w:r>
        <w:fldChar w:fldCharType="separate"/>
      </w:r>
      <w:r>
        <w:rPr>
          <w:rStyle w:val="56"/>
          <w:color w:val="auto"/>
        </w:rPr>
        <w:t>四、磋商承诺函</w:t>
      </w:r>
      <w:r>
        <w:tab/>
      </w:r>
      <w:r>
        <w:fldChar w:fldCharType="begin"/>
      </w:r>
      <w:r>
        <w:instrText xml:space="preserve"> PAGEREF _Toc43371499 \h </w:instrText>
      </w:r>
      <w:r>
        <w:fldChar w:fldCharType="separate"/>
      </w:r>
      <w:r>
        <w:t>69</w:t>
      </w:r>
      <w:r>
        <w:fldChar w:fldCharType="end"/>
      </w:r>
      <w:r>
        <w:fldChar w:fldCharType="end"/>
      </w:r>
    </w:p>
    <w:p>
      <w:pPr>
        <w:pStyle w:val="36"/>
        <w:tabs>
          <w:tab w:val="right" w:leader="dot" w:pos="8296"/>
        </w:tabs>
        <w:rPr>
          <w:kern w:val="2"/>
          <w:sz w:val="21"/>
        </w:rPr>
      </w:pPr>
      <w:r>
        <w:fldChar w:fldCharType="begin"/>
      </w:r>
      <w:r>
        <w:instrText xml:space="preserve"> HYPERLINK \l "_Toc43371500" </w:instrText>
      </w:r>
      <w:r>
        <w:fldChar w:fldCharType="separate"/>
      </w:r>
      <w:r>
        <w:rPr>
          <w:rStyle w:val="56"/>
          <w:color w:val="auto"/>
        </w:rPr>
        <w:t>五、已标价工程量清单</w:t>
      </w:r>
      <w:r>
        <w:tab/>
      </w:r>
      <w:r>
        <w:fldChar w:fldCharType="begin"/>
      </w:r>
      <w:r>
        <w:instrText xml:space="preserve"> PAGEREF _Toc43371500 \h </w:instrText>
      </w:r>
      <w:r>
        <w:fldChar w:fldCharType="separate"/>
      </w:r>
      <w:r>
        <w:t>72</w:t>
      </w:r>
      <w:r>
        <w:fldChar w:fldCharType="end"/>
      </w:r>
      <w:r>
        <w:fldChar w:fldCharType="end"/>
      </w:r>
    </w:p>
    <w:p>
      <w:pPr>
        <w:pStyle w:val="36"/>
        <w:tabs>
          <w:tab w:val="right" w:leader="dot" w:pos="8296"/>
        </w:tabs>
        <w:rPr>
          <w:kern w:val="2"/>
          <w:sz w:val="21"/>
        </w:rPr>
      </w:pPr>
      <w:r>
        <w:fldChar w:fldCharType="begin"/>
      </w:r>
      <w:r>
        <w:instrText xml:space="preserve"> HYPERLINK \l "_Toc43371501" </w:instrText>
      </w:r>
      <w:r>
        <w:fldChar w:fldCharType="separate"/>
      </w:r>
      <w:r>
        <w:rPr>
          <w:rStyle w:val="56"/>
          <w:color w:val="auto"/>
        </w:rPr>
        <w:t>六、施工组织设计</w:t>
      </w:r>
      <w:r>
        <w:tab/>
      </w:r>
      <w:r>
        <w:fldChar w:fldCharType="begin"/>
      </w:r>
      <w:r>
        <w:instrText xml:space="preserve"> PAGEREF _Toc43371501 \h </w:instrText>
      </w:r>
      <w:r>
        <w:fldChar w:fldCharType="separate"/>
      </w:r>
      <w:r>
        <w:t>73</w:t>
      </w:r>
      <w:r>
        <w:fldChar w:fldCharType="end"/>
      </w:r>
      <w:r>
        <w:fldChar w:fldCharType="end"/>
      </w:r>
    </w:p>
    <w:p>
      <w:pPr>
        <w:pStyle w:val="23"/>
        <w:tabs>
          <w:tab w:val="right" w:leader="dot" w:pos="8296"/>
        </w:tabs>
        <w:rPr>
          <w:kern w:val="2"/>
          <w:sz w:val="21"/>
        </w:rPr>
      </w:pPr>
      <w:r>
        <w:fldChar w:fldCharType="begin"/>
      </w:r>
      <w:r>
        <w:instrText xml:space="preserve"> HYPERLINK \l "_Toc43371502" </w:instrText>
      </w:r>
      <w:r>
        <w:fldChar w:fldCharType="separate"/>
      </w:r>
      <w:r>
        <w:rPr>
          <w:rStyle w:val="56"/>
          <w:color w:val="auto"/>
        </w:rPr>
        <w:t>附表一：拟投入本项目的主要施工设备表</w:t>
      </w:r>
      <w:r>
        <w:tab/>
      </w:r>
      <w:r>
        <w:fldChar w:fldCharType="begin"/>
      </w:r>
      <w:r>
        <w:instrText xml:space="preserve"> PAGEREF _Toc43371502 \h </w:instrText>
      </w:r>
      <w:r>
        <w:fldChar w:fldCharType="separate"/>
      </w:r>
      <w:r>
        <w:t>74</w:t>
      </w:r>
      <w:r>
        <w:fldChar w:fldCharType="end"/>
      </w:r>
      <w:r>
        <w:fldChar w:fldCharType="end"/>
      </w:r>
    </w:p>
    <w:p>
      <w:pPr>
        <w:pStyle w:val="23"/>
        <w:tabs>
          <w:tab w:val="right" w:leader="dot" w:pos="8296"/>
        </w:tabs>
        <w:rPr>
          <w:kern w:val="2"/>
          <w:sz w:val="21"/>
        </w:rPr>
      </w:pPr>
      <w:r>
        <w:fldChar w:fldCharType="begin"/>
      </w:r>
      <w:r>
        <w:instrText xml:space="preserve"> HYPERLINK \l "_Toc43371503" </w:instrText>
      </w:r>
      <w:r>
        <w:fldChar w:fldCharType="separate"/>
      </w:r>
      <w:r>
        <w:rPr>
          <w:rStyle w:val="56"/>
          <w:color w:val="auto"/>
        </w:rPr>
        <w:t>附表二：劳动力计划表</w:t>
      </w:r>
      <w:r>
        <w:tab/>
      </w:r>
      <w:r>
        <w:fldChar w:fldCharType="begin"/>
      </w:r>
      <w:r>
        <w:instrText xml:space="preserve"> PAGEREF _Toc43371503 \h </w:instrText>
      </w:r>
      <w:r>
        <w:fldChar w:fldCharType="separate"/>
      </w:r>
      <w:r>
        <w:t>75</w:t>
      </w:r>
      <w:r>
        <w:fldChar w:fldCharType="end"/>
      </w:r>
      <w:r>
        <w:fldChar w:fldCharType="end"/>
      </w:r>
    </w:p>
    <w:p>
      <w:pPr>
        <w:pStyle w:val="23"/>
        <w:tabs>
          <w:tab w:val="right" w:leader="dot" w:pos="8296"/>
        </w:tabs>
        <w:rPr>
          <w:kern w:val="2"/>
          <w:sz w:val="21"/>
        </w:rPr>
      </w:pPr>
      <w:r>
        <w:fldChar w:fldCharType="begin"/>
      </w:r>
      <w:r>
        <w:instrText xml:space="preserve"> HYPERLINK \l "_Toc43371504" </w:instrText>
      </w:r>
      <w:r>
        <w:fldChar w:fldCharType="separate"/>
      </w:r>
      <w:r>
        <w:rPr>
          <w:rStyle w:val="56"/>
          <w:color w:val="auto"/>
        </w:rPr>
        <w:t>附表三：进度计划</w:t>
      </w:r>
      <w:r>
        <w:tab/>
      </w:r>
      <w:r>
        <w:fldChar w:fldCharType="begin"/>
      </w:r>
      <w:r>
        <w:instrText xml:space="preserve"> PAGEREF _Toc43371504 \h </w:instrText>
      </w:r>
      <w:r>
        <w:fldChar w:fldCharType="separate"/>
      </w:r>
      <w:r>
        <w:t>76</w:t>
      </w:r>
      <w:r>
        <w:fldChar w:fldCharType="end"/>
      </w:r>
      <w:r>
        <w:fldChar w:fldCharType="end"/>
      </w:r>
    </w:p>
    <w:p>
      <w:pPr>
        <w:pStyle w:val="23"/>
        <w:tabs>
          <w:tab w:val="right" w:leader="dot" w:pos="8296"/>
        </w:tabs>
        <w:rPr>
          <w:kern w:val="2"/>
          <w:sz w:val="21"/>
        </w:rPr>
      </w:pPr>
      <w:r>
        <w:fldChar w:fldCharType="begin"/>
      </w:r>
      <w:r>
        <w:instrText xml:space="preserve"> HYPERLINK \l "_Toc43371505" </w:instrText>
      </w:r>
      <w:r>
        <w:fldChar w:fldCharType="separate"/>
      </w:r>
      <w:r>
        <w:rPr>
          <w:rStyle w:val="56"/>
          <w:color w:val="auto"/>
        </w:rPr>
        <w:t>附表四：施工总平面图</w:t>
      </w:r>
      <w:r>
        <w:tab/>
      </w:r>
      <w:r>
        <w:fldChar w:fldCharType="begin"/>
      </w:r>
      <w:r>
        <w:instrText xml:space="preserve"> PAGEREF _Toc43371505 \h </w:instrText>
      </w:r>
      <w:r>
        <w:fldChar w:fldCharType="separate"/>
      </w:r>
      <w:r>
        <w:t>77</w:t>
      </w:r>
      <w:r>
        <w:fldChar w:fldCharType="end"/>
      </w:r>
      <w:r>
        <w:fldChar w:fldCharType="end"/>
      </w:r>
    </w:p>
    <w:p>
      <w:pPr>
        <w:pStyle w:val="36"/>
        <w:tabs>
          <w:tab w:val="right" w:leader="dot" w:pos="8296"/>
        </w:tabs>
        <w:rPr>
          <w:kern w:val="2"/>
          <w:sz w:val="21"/>
        </w:rPr>
      </w:pPr>
      <w:r>
        <w:fldChar w:fldCharType="begin"/>
      </w:r>
      <w:r>
        <w:instrText xml:space="preserve"> HYPERLINK \l "_Toc43371506" </w:instrText>
      </w:r>
      <w:r>
        <w:fldChar w:fldCharType="separate"/>
      </w:r>
      <w:r>
        <w:rPr>
          <w:rStyle w:val="56"/>
          <w:rFonts w:asciiTheme="minorEastAsia" w:hAnsiTheme="minorEastAsia"/>
          <w:color w:val="auto"/>
        </w:rPr>
        <w:t>七、项目管理机构</w:t>
      </w:r>
      <w:r>
        <w:tab/>
      </w:r>
      <w:r>
        <w:fldChar w:fldCharType="begin"/>
      </w:r>
      <w:r>
        <w:instrText xml:space="preserve"> PAGEREF _Toc43371506 \h </w:instrText>
      </w:r>
      <w:r>
        <w:fldChar w:fldCharType="separate"/>
      </w:r>
      <w:r>
        <w:t>78</w:t>
      </w:r>
      <w:r>
        <w:fldChar w:fldCharType="end"/>
      </w:r>
      <w:r>
        <w:fldChar w:fldCharType="end"/>
      </w:r>
    </w:p>
    <w:p>
      <w:pPr>
        <w:pStyle w:val="23"/>
        <w:tabs>
          <w:tab w:val="right" w:leader="dot" w:pos="8296"/>
        </w:tabs>
        <w:rPr>
          <w:kern w:val="2"/>
          <w:sz w:val="21"/>
        </w:rPr>
      </w:pPr>
      <w:r>
        <w:fldChar w:fldCharType="begin"/>
      </w:r>
      <w:r>
        <w:instrText xml:space="preserve"> HYPERLINK \l "_Toc43371507" </w:instrText>
      </w:r>
      <w:r>
        <w:fldChar w:fldCharType="separate"/>
      </w:r>
      <w:r>
        <w:rPr>
          <w:rStyle w:val="56"/>
          <w:color w:val="auto"/>
        </w:rPr>
        <w:t>（一）项目管理机构组成表</w:t>
      </w:r>
      <w:r>
        <w:tab/>
      </w:r>
      <w:r>
        <w:fldChar w:fldCharType="begin"/>
      </w:r>
      <w:r>
        <w:instrText xml:space="preserve"> PAGEREF _Toc43371507 \h </w:instrText>
      </w:r>
      <w:r>
        <w:fldChar w:fldCharType="separate"/>
      </w:r>
      <w:r>
        <w:t>78</w:t>
      </w:r>
      <w:r>
        <w:fldChar w:fldCharType="end"/>
      </w:r>
      <w:r>
        <w:fldChar w:fldCharType="end"/>
      </w:r>
    </w:p>
    <w:p>
      <w:pPr>
        <w:pStyle w:val="23"/>
        <w:tabs>
          <w:tab w:val="right" w:leader="dot" w:pos="8296"/>
        </w:tabs>
        <w:rPr>
          <w:kern w:val="2"/>
          <w:sz w:val="21"/>
        </w:rPr>
      </w:pPr>
      <w:r>
        <w:fldChar w:fldCharType="begin"/>
      </w:r>
      <w:r>
        <w:instrText xml:space="preserve"> HYPERLINK \l "_Toc43371508" </w:instrText>
      </w:r>
      <w:r>
        <w:fldChar w:fldCharType="separate"/>
      </w:r>
      <w:r>
        <w:rPr>
          <w:rStyle w:val="56"/>
          <w:color w:val="auto"/>
        </w:rPr>
        <w:t>（二）主要人员简历表</w:t>
      </w:r>
      <w:r>
        <w:tab/>
      </w:r>
      <w:r>
        <w:fldChar w:fldCharType="begin"/>
      </w:r>
      <w:r>
        <w:instrText xml:space="preserve"> PAGEREF _Toc43371508 \h </w:instrText>
      </w:r>
      <w:r>
        <w:fldChar w:fldCharType="separate"/>
      </w:r>
      <w:r>
        <w:t>79</w:t>
      </w:r>
      <w:r>
        <w:fldChar w:fldCharType="end"/>
      </w:r>
      <w:r>
        <w:fldChar w:fldCharType="end"/>
      </w:r>
    </w:p>
    <w:p>
      <w:pPr>
        <w:pStyle w:val="36"/>
        <w:tabs>
          <w:tab w:val="right" w:leader="dot" w:pos="8296"/>
        </w:tabs>
        <w:rPr>
          <w:kern w:val="2"/>
          <w:sz w:val="21"/>
        </w:rPr>
      </w:pPr>
      <w:r>
        <w:fldChar w:fldCharType="begin"/>
      </w:r>
      <w:r>
        <w:instrText xml:space="preserve"> HYPERLINK \l "_Toc43371509" </w:instrText>
      </w:r>
      <w:r>
        <w:fldChar w:fldCharType="separate"/>
      </w:r>
      <w:r>
        <w:rPr>
          <w:rStyle w:val="56"/>
          <w:color w:val="auto"/>
        </w:rPr>
        <w:t>八、资格审查资料</w:t>
      </w:r>
      <w:r>
        <w:tab/>
      </w:r>
      <w:r>
        <w:fldChar w:fldCharType="begin"/>
      </w:r>
      <w:r>
        <w:instrText xml:space="preserve"> PAGEREF _Toc43371509 \h </w:instrText>
      </w:r>
      <w:r>
        <w:fldChar w:fldCharType="separate"/>
      </w:r>
      <w:r>
        <w:t>80</w:t>
      </w:r>
      <w:r>
        <w:fldChar w:fldCharType="end"/>
      </w:r>
      <w:r>
        <w:fldChar w:fldCharType="end"/>
      </w:r>
    </w:p>
    <w:p>
      <w:pPr>
        <w:pStyle w:val="23"/>
        <w:tabs>
          <w:tab w:val="right" w:leader="dot" w:pos="8296"/>
        </w:tabs>
        <w:rPr>
          <w:kern w:val="2"/>
          <w:sz w:val="21"/>
        </w:rPr>
      </w:pPr>
      <w:r>
        <w:fldChar w:fldCharType="begin"/>
      </w:r>
      <w:r>
        <w:instrText xml:space="preserve"> HYPERLINK \l "_Toc43371510" </w:instrText>
      </w:r>
      <w:r>
        <w:fldChar w:fldCharType="separate"/>
      </w:r>
      <w:r>
        <w:rPr>
          <w:rStyle w:val="56"/>
          <w:color w:val="auto"/>
        </w:rPr>
        <w:t>（一）</w:t>
      </w:r>
      <w:r>
        <w:rPr>
          <w:rStyle w:val="56"/>
          <w:rFonts w:hint="eastAsia"/>
          <w:color w:val="auto"/>
          <w:lang w:eastAsia="zh-CN"/>
        </w:rPr>
        <w:t>响应人</w:t>
      </w:r>
      <w:r>
        <w:rPr>
          <w:rStyle w:val="56"/>
          <w:color w:val="auto"/>
        </w:rPr>
        <w:t>基本情况表</w:t>
      </w:r>
      <w:r>
        <w:tab/>
      </w:r>
      <w:r>
        <w:fldChar w:fldCharType="begin"/>
      </w:r>
      <w:r>
        <w:instrText xml:space="preserve"> PAGEREF _Toc43371510 \h </w:instrText>
      </w:r>
      <w:r>
        <w:fldChar w:fldCharType="separate"/>
      </w:r>
      <w:r>
        <w:t>80</w:t>
      </w:r>
      <w:r>
        <w:fldChar w:fldCharType="end"/>
      </w:r>
      <w:r>
        <w:fldChar w:fldCharType="end"/>
      </w:r>
    </w:p>
    <w:p>
      <w:pPr>
        <w:pStyle w:val="23"/>
        <w:tabs>
          <w:tab w:val="right" w:leader="dot" w:pos="8296"/>
        </w:tabs>
        <w:rPr>
          <w:kern w:val="2"/>
          <w:sz w:val="21"/>
        </w:rPr>
      </w:pPr>
      <w:r>
        <w:fldChar w:fldCharType="begin"/>
      </w:r>
      <w:r>
        <w:instrText xml:space="preserve"> HYPERLINK \l "_Toc43371511" </w:instrText>
      </w:r>
      <w:r>
        <w:fldChar w:fldCharType="separate"/>
      </w:r>
      <w:r>
        <w:rPr>
          <w:rStyle w:val="56"/>
          <w:color w:val="auto"/>
        </w:rPr>
        <w:t>（二）近年财务状况表</w:t>
      </w:r>
      <w:r>
        <w:tab/>
      </w:r>
      <w:r>
        <w:fldChar w:fldCharType="begin"/>
      </w:r>
      <w:r>
        <w:instrText xml:space="preserve"> PAGEREF _Toc43371511 \h </w:instrText>
      </w:r>
      <w:r>
        <w:fldChar w:fldCharType="separate"/>
      </w:r>
      <w:r>
        <w:t>81</w:t>
      </w:r>
      <w:r>
        <w:fldChar w:fldCharType="end"/>
      </w:r>
      <w:r>
        <w:fldChar w:fldCharType="end"/>
      </w:r>
    </w:p>
    <w:p>
      <w:pPr>
        <w:pStyle w:val="23"/>
        <w:tabs>
          <w:tab w:val="right" w:leader="dot" w:pos="8296"/>
        </w:tabs>
        <w:rPr>
          <w:kern w:val="2"/>
          <w:sz w:val="21"/>
        </w:rPr>
      </w:pPr>
      <w:r>
        <w:fldChar w:fldCharType="begin"/>
      </w:r>
      <w:r>
        <w:instrText xml:space="preserve"> HYPERLINK \l "_Toc43371512" </w:instrText>
      </w:r>
      <w:r>
        <w:fldChar w:fldCharType="separate"/>
      </w:r>
      <w:r>
        <w:rPr>
          <w:rStyle w:val="56"/>
          <w:color w:val="auto"/>
        </w:rPr>
        <w:t>（三）依法缴纳税收和社会保障资金状况</w:t>
      </w:r>
      <w:r>
        <w:tab/>
      </w:r>
      <w:r>
        <w:fldChar w:fldCharType="begin"/>
      </w:r>
      <w:r>
        <w:instrText xml:space="preserve"> PAGEREF _Toc43371512 \h </w:instrText>
      </w:r>
      <w:r>
        <w:fldChar w:fldCharType="separate"/>
      </w:r>
      <w:r>
        <w:t>81</w:t>
      </w:r>
      <w:r>
        <w:fldChar w:fldCharType="end"/>
      </w:r>
      <w:r>
        <w:fldChar w:fldCharType="end"/>
      </w:r>
    </w:p>
    <w:p>
      <w:pPr>
        <w:pStyle w:val="23"/>
        <w:tabs>
          <w:tab w:val="right" w:leader="dot" w:pos="8296"/>
        </w:tabs>
        <w:rPr>
          <w:kern w:val="2"/>
          <w:sz w:val="21"/>
        </w:rPr>
      </w:pPr>
      <w:r>
        <w:fldChar w:fldCharType="begin"/>
      </w:r>
      <w:r>
        <w:instrText xml:space="preserve"> HYPERLINK \l "_Toc43371513" </w:instrText>
      </w:r>
      <w:r>
        <w:fldChar w:fldCharType="separate"/>
      </w:r>
      <w:r>
        <w:rPr>
          <w:rStyle w:val="56"/>
          <w:color w:val="auto"/>
        </w:rPr>
        <w:t>（四）近年完成的类似项目情况表</w:t>
      </w:r>
      <w:r>
        <w:tab/>
      </w:r>
      <w:r>
        <w:fldChar w:fldCharType="begin"/>
      </w:r>
      <w:r>
        <w:instrText xml:space="preserve"> PAGEREF _Toc43371513 \h </w:instrText>
      </w:r>
      <w:r>
        <w:fldChar w:fldCharType="separate"/>
      </w:r>
      <w:r>
        <w:t>82</w:t>
      </w:r>
      <w:r>
        <w:fldChar w:fldCharType="end"/>
      </w:r>
      <w:r>
        <w:fldChar w:fldCharType="end"/>
      </w:r>
    </w:p>
    <w:p>
      <w:pPr>
        <w:pStyle w:val="23"/>
        <w:tabs>
          <w:tab w:val="right" w:leader="dot" w:pos="8296"/>
        </w:tabs>
        <w:rPr>
          <w:kern w:val="2"/>
          <w:sz w:val="21"/>
        </w:rPr>
      </w:pPr>
      <w:r>
        <w:fldChar w:fldCharType="begin"/>
      </w:r>
      <w:r>
        <w:instrText xml:space="preserve"> HYPERLINK \l "_Toc43371514" </w:instrText>
      </w:r>
      <w:r>
        <w:fldChar w:fldCharType="separate"/>
      </w:r>
      <w:r>
        <w:rPr>
          <w:rStyle w:val="56"/>
          <w:color w:val="auto"/>
        </w:rPr>
        <w:t>（五）正在实施的和新承接的项目情况表</w:t>
      </w:r>
      <w:r>
        <w:tab/>
      </w:r>
      <w:r>
        <w:fldChar w:fldCharType="begin"/>
      </w:r>
      <w:r>
        <w:instrText xml:space="preserve"> PAGEREF _Toc43371514 \h </w:instrText>
      </w:r>
      <w:r>
        <w:fldChar w:fldCharType="separate"/>
      </w:r>
      <w:r>
        <w:t>83</w:t>
      </w:r>
      <w:r>
        <w:fldChar w:fldCharType="end"/>
      </w:r>
      <w:r>
        <w:fldChar w:fldCharType="end"/>
      </w:r>
    </w:p>
    <w:p>
      <w:pPr>
        <w:pStyle w:val="23"/>
        <w:tabs>
          <w:tab w:val="right" w:leader="dot" w:pos="8296"/>
        </w:tabs>
        <w:rPr>
          <w:kern w:val="2"/>
          <w:sz w:val="21"/>
        </w:rPr>
      </w:pPr>
      <w:r>
        <w:fldChar w:fldCharType="begin"/>
      </w:r>
      <w:r>
        <w:instrText xml:space="preserve"> HYPERLINK \l "_Toc43371515" </w:instrText>
      </w:r>
      <w:r>
        <w:fldChar w:fldCharType="separate"/>
      </w:r>
      <w:r>
        <w:rPr>
          <w:rStyle w:val="56"/>
          <w:color w:val="auto"/>
        </w:rPr>
        <w:t>（六）其他资格审查资料</w:t>
      </w:r>
      <w:r>
        <w:tab/>
      </w:r>
      <w:r>
        <w:fldChar w:fldCharType="begin"/>
      </w:r>
      <w:r>
        <w:instrText xml:space="preserve"> PAGEREF _Toc43371515 \h </w:instrText>
      </w:r>
      <w:r>
        <w:fldChar w:fldCharType="separate"/>
      </w:r>
      <w:r>
        <w:t>84</w:t>
      </w:r>
      <w:r>
        <w:fldChar w:fldCharType="end"/>
      </w:r>
      <w:r>
        <w:fldChar w:fldCharType="end"/>
      </w:r>
    </w:p>
    <w:p>
      <w:pPr>
        <w:pStyle w:val="36"/>
        <w:tabs>
          <w:tab w:val="right" w:leader="dot" w:pos="8296"/>
        </w:tabs>
        <w:rPr>
          <w:kern w:val="2"/>
          <w:sz w:val="21"/>
        </w:rPr>
      </w:pPr>
      <w:r>
        <w:fldChar w:fldCharType="begin"/>
      </w:r>
      <w:r>
        <w:instrText xml:space="preserve"> HYPERLINK \l "_Toc43371516" </w:instrText>
      </w:r>
      <w:r>
        <w:fldChar w:fldCharType="separate"/>
      </w:r>
      <w:r>
        <w:rPr>
          <w:rStyle w:val="56"/>
          <w:rFonts w:asciiTheme="minorEastAsia" w:hAnsiTheme="minorEastAsia"/>
          <w:color w:val="auto"/>
        </w:rPr>
        <w:t>九、售后服务方案及承诺</w:t>
      </w:r>
      <w:r>
        <w:tab/>
      </w:r>
      <w:r>
        <w:fldChar w:fldCharType="begin"/>
      </w:r>
      <w:r>
        <w:instrText xml:space="preserve"> PAGEREF _Toc43371516 \h </w:instrText>
      </w:r>
      <w:r>
        <w:fldChar w:fldCharType="separate"/>
      </w:r>
      <w:r>
        <w:t>85</w:t>
      </w:r>
      <w:r>
        <w:fldChar w:fldCharType="end"/>
      </w:r>
      <w:r>
        <w:fldChar w:fldCharType="end"/>
      </w:r>
    </w:p>
    <w:p>
      <w:pPr>
        <w:pStyle w:val="36"/>
        <w:tabs>
          <w:tab w:val="right" w:leader="dot" w:pos="8296"/>
        </w:tabs>
        <w:rPr>
          <w:kern w:val="2"/>
          <w:sz w:val="21"/>
        </w:rPr>
      </w:pPr>
      <w:r>
        <w:fldChar w:fldCharType="begin"/>
      </w:r>
      <w:r>
        <w:instrText xml:space="preserve"> HYPERLINK \l "_Toc43371521" </w:instrText>
      </w:r>
      <w:r>
        <w:fldChar w:fldCharType="separate"/>
      </w:r>
      <w:r>
        <w:rPr>
          <w:rStyle w:val="56"/>
          <w:rFonts w:asciiTheme="minorEastAsia" w:hAnsiTheme="minorEastAsia"/>
          <w:color w:val="auto"/>
        </w:rPr>
        <w:t>十、</w:t>
      </w:r>
      <w:r>
        <w:rPr>
          <w:rStyle w:val="56"/>
          <w:rFonts w:hint="eastAsia" w:asciiTheme="minorEastAsia" w:hAnsiTheme="minorEastAsia"/>
          <w:color w:val="auto"/>
          <w:lang w:eastAsia="zh-CN"/>
        </w:rPr>
        <w:t>响应人</w:t>
      </w:r>
      <w:r>
        <w:rPr>
          <w:rStyle w:val="56"/>
          <w:rFonts w:asciiTheme="minorEastAsia" w:hAnsiTheme="minorEastAsia"/>
          <w:color w:val="auto"/>
        </w:rPr>
        <w:t>认为需要提供的其他资料</w:t>
      </w:r>
      <w:r>
        <w:tab/>
      </w:r>
      <w:r>
        <w:fldChar w:fldCharType="begin"/>
      </w:r>
      <w:r>
        <w:instrText xml:space="preserve"> PAGEREF _Toc43371521 \h </w:instrText>
      </w:r>
      <w:r>
        <w:fldChar w:fldCharType="separate"/>
      </w:r>
      <w:r>
        <w:t>86</w:t>
      </w:r>
      <w:r>
        <w:fldChar w:fldCharType="end"/>
      </w:r>
      <w:r>
        <w:fldChar w:fldCharType="end"/>
      </w:r>
    </w:p>
    <w:p>
      <w:pPr>
        <w:widowControl/>
        <w:jc w:val="left"/>
      </w:pPr>
      <w:r>
        <w:fldChar w:fldCharType="end"/>
      </w:r>
      <w:r>
        <w:br w:type="page"/>
      </w:r>
    </w:p>
    <w:p>
      <w:pPr>
        <w:pStyle w:val="3"/>
        <w:spacing w:before="0" w:after="0"/>
        <w:jc w:val="center"/>
        <w:rPr>
          <w:rFonts w:asciiTheme="minorEastAsia" w:hAnsiTheme="minorEastAsia"/>
          <w:sz w:val="32"/>
        </w:rPr>
      </w:pPr>
      <w:bookmarkStart w:id="0" w:name="_Toc43371472"/>
      <w:r>
        <w:rPr>
          <w:rFonts w:hint="eastAsia" w:asciiTheme="minorEastAsia" w:hAnsiTheme="minorEastAsia"/>
          <w:sz w:val="32"/>
        </w:rPr>
        <w:t>第一章 竞争性磋商公告</w:t>
      </w:r>
      <w:bookmarkEnd w:id="0"/>
    </w:p>
    <w:p>
      <w:pPr>
        <w:widowControl/>
        <w:adjustRightInd w:val="0"/>
        <w:snapToGrid w:val="0"/>
        <w:spacing w:line="360" w:lineRule="auto"/>
        <w:jc w:val="center"/>
        <w:rPr>
          <w:rFonts w:hint="eastAsia" w:cs="宋体" w:asciiTheme="minorEastAsia" w:hAnsiTheme="minorEastAsia"/>
          <w:b/>
          <w:spacing w:val="-10"/>
          <w:kern w:val="0"/>
          <w:sz w:val="28"/>
          <w:szCs w:val="24"/>
          <w:lang w:eastAsia="zh-CN"/>
        </w:rPr>
      </w:pPr>
      <w:bookmarkStart w:id="1" w:name="_Hlk44665837"/>
      <w:r>
        <w:rPr>
          <w:rFonts w:hint="eastAsia" w:cs="宋体" w:asciiTheme="minorEastAsia" w:hAnsiTheme="minorEastAsia"/>
          <w:b/>
          <w:spacing w:val="-10"/>
          <w:kern w:val="0"/>
          <w:sz w:val="28"/>
          <w:szCs w:val="24"/>
          <w:lang w:eastAsia="zh-CN"/>
        </w:rPr>
        <w:t>郑州市蔬菜研究所“郑州市蔬菜研究所 科研楼”供配电工程 （</w:t>
      </w:r>
      <w:r>
        <w:rPr>
          <w:rFonts w:hint="eastAsia" w:cs="宋体" w:asciiTheme="minorEastAsia" w:hAnsiTheme="minorEastAsia"/>
          <w:b/>
          <w:spacing w:val="-10"/>
          <w:kern w:val="0"/>
          <w:sz w:val="28"/>
          <w:szCs w:val="24"/>
          <w:lang w:val="en-US" w:eastAsia="zh-CN"/>
        </w:rPr>
        <w:t>二次</w:t>
      </w:r>
      <w:r>
        <w:rPr>
          <w:rFonts w:hint="eastAsia" w:cs="宋体" w:asciiTheme="minorEastAsia" w:hAnsiTheme="minorEastAsia"/>
          <w:b/>
          <w:spacing w:val="-10"/>
          <w:kern w:val="0"/>
          <w:sz w:val="28"/>
          <w:szCs w:val="24"/>
          <w:lang w:eastAsia="zh-CN"/>
        </w:rPr>
        <w:t xml:space="preserve">） </w:t>
      </w:r>
    </w:p>
    <w:p>
      <w:pPr>
        <w:widowControl/>
        <w:adjustRightInd w:val="0"/>
        <w:snapToGrid w:val="0"/>
        <w:spacing w:line="360" w:lineRule="auto"/>
        <w:jc w:val="center"/>
        <w:rPr>
          <w:rFonts w:cs="宋体" w:asciiTheme="minorEastAsia" w:hAnsiTheme="minorEastAsia"/>
          <w:b/>
          <w:kern w:val="0"/>
          <w:sz w:val="28"/>
          <w:szCs w:val="24"/>
        </w:rPr>
      </w:pPr>
      <w:r>
        <w:rPr>
          <w:rFonts w:hint="eastAsia" w:cs="宋体" w:asciiTheme="minorEastAsia" w:hAnsiTheme="minorEastAsia"/>
          <w:b/>
          <w:spacing w:val="-10"/>
          <w:kern w:val="0"/>
          <w:sz w:val="28"/>
          <w:szCs w:val="24"/>
          <w:lang w:eastAsia="zh-CN"/>
        </w:rPr>
        <w:t xml:space="preserve"> </w:t>
      </w:r>
      <w:r>
        <w:rPr>
          <w:rFonts w:hint="eastAsia" w:cs="宋体" w:asciiTheme="minorEastAsia" w:hAnsiTheme="minorEastAsia"/>
          <w:b/>
          <w:spacing w:val="-10"/>
          <w:kern w:val="0"/>
          <w:sz w:val="28"/>
          <w:szCs w:val="24"/>
        </w:rPr>
        <w:t>竞争性磋商公告</w:t>
      </w:r>
    </w:p>
    <w:p>
      <w:pPr>
        <w:widowControl/>
        <w:adjustRightInd w:val="0"/>
        <w:snapToGrid w:val="0"/>
        <w:spacing w:line="360" w:lineRule="auto"/>
        <w:jc w:val="left"/>
        <w:rPr>
          <w:rFonts w:cs="宋体" w:asciiTheme="minorEastAsia" w:hAnsiTheme="minorEastAsia"/>
          <w:kern w:val="0"/>
          <w:sz w:val="24"/>
        </w:rPr>
      </w:pPr>
      <w:r>
        <w:rPr>
          <w:rFonts w:hint="eastAsia" w:cs="宋体" w:asciiTheme="minorEastAsia" w:hAnsiTheme="minorEastAsia"/>
          <w:kern w:val="0"/>
          <w:sz w:val="24"/>
        </w:rPr>
        <w:t>一、项目基本情况</w:t>
      </w:r>
    </w:p>
    <w:p>
      <w:pPr>
        <w:widowControl/>
        <w:adjustRightInd w:val="0"/>
        <w:snapToGrid w:val="0"/>
        <w:spacing w:line="360" w:lineRule="auto"/>
        <w:jc w:val="left"/>
        <w:rPr>
          <w:rFonts w:hint="eastAsia" w:cs="宋体" w:asciiTheme="minorEastAsia" w:hAnsiTheme="minorEastAsia"/>
          <w:kern w:val="0"/>
          <w:sz w:val="24"/>
          <w:lang w:val="zh-CN"/>
        </w:rPr>
      </w:pPr>
      <w:r>
        <w:rPr>
          <w:rFonts w:hint="eastAsia" w:cs="宋体" w:asciiTheme="minorEastAsia" w:hAnsiTheme="minorEastAsia"/>
          <w:kern w:val="0"/>
          <w:sz w:val="24"/>
        </w:rPr>
        <w:t>1、采购项目编号：</w:t>
      </w:r>
      <w:r>
        <w:rPr>
          <w:rFonts w:hint="eastAsia" w:cs="宋体" w:asciiTheme="minorEastAsia" w:hAnsiTheme="minorEastAsia"/>
          <w:kern w:val="0"/>
          <w:sz w:val="24"/>
          <w:lang w:val="zh-CN"/>
        </w:rPr>
        <w:t>郑财磋商采购-2020-74</w:t>
      </w:r>
    </w:p>
    <w:p>
      <w:pPr>
        <w:widowControl/>
        <w:adjustRightInd w:val="0"/>
        <w:snapToGrid w:val="0"/>
        <w:spacing w:line="360" w:lineRule="auto"/>
        <w:jc w:val="left"/>
        <w:rPr>
          <w:rFonts w:cs="宋体" w:asciiTheme="minorEastAsia" w:hAnsiTheme="minorEastAsia"/>
          <w:kern w:val="0"/>
          <w:sz w:val="24"/>
          <w:lang w:val="zh-CN"/>
        </w:rPr>
      </w:pPr>
      <w:r>
        <w:rPr>
          <w:rFonts w:hint="eastAsia" w:cs="宋体" w:asciiTheme="minorEastAsia" w:hAnsiTheme="minorEastAsia"/>
          <w:kern w:val="0"/>
          <w:sz w:val="24"/>
        </w:rPr>
        <w:t>2、采购项目名称：</w:t>
      </w:r>
      <w:r>
        <w:rPr>
          <w:rFonts w:hint="eastAsia" w:cs="宋体" w:asciiTheme="minorEastAsia" w:hAnsiTheme="minorEastAsia"/>
          <w:kern w:val="0"/>
          <w:sz w:val="24"/>
          <w:lang w:val="zh-CN"/>
        </w:rPr>
        <w:t xml:space="preserve">郑州市蔬菜研究所“郑州市蔬菜研究所 科研楼”供配电工程 </w:t>
      </w:r>
      <w:r>
        <w:rPr>
          <w:rFonts w:hint="eastAsia" w:cs="宋体" w:asciiTheme="minorEastAsia" w:hAnsiTheme="minorEastAsia"/>
          <w:kern w:val="0"/>
          <w:sz w:val="24"/>
          <w:lang w:val="en-US" w:eastAsia="zh-CN"/>
        </w:rPr>
        <w:t>(二次）</w:t>
      </w:r>
      <w:r>
        <w:rPr>
          <w:rFonts w:hint="eastAsia" w:cs="宋体" w:asciiTheme="minorEastAsia" w:hAnsiTheme="minorEastAsia"/>
          <w:kern w:val="0"/>
          <w:sz w:val="24"/>
          <w:lang w:val="zh-CN"/>
        </w:rPr>
        <w:t xml:space="preserve">  </w:t>
      </w:r>
    </w:p>
    <w:p>
      <w:pPr>
        <w:widowControl/>
        <w:adjustRightInd w:val="0"/>
        <w:snapToGrid w:val="0"/>
        <w:spacing w:line="360" w:lineRule="auto"/>
        <w:jc w:val="left"/>
        <w:rPr>
          <w:rFonts w:cs="宋体" w:asciiTheme="minorEastAsia" w:hAnsiTheme="minorEastAsia"/>
          <w:kern w:val="0"/>
          <w:sz w:val="24"/>
        </w:rPr>
      </w:pPr>
      <w:r>
        <w:rPr>
          <w:rFonts w:hint="eastAsia" w:cs="宋体" w:asciiTheme="minorEastAsia" w:hAnsiTheme="minorEastAsia"/>
          <w:kern w:val="0"/>
          <w:sz w:val="24"/>
        </w:rPr>
        <w:t>3、采购方式：竞争性磋商采购</w:t>
      </w:r>
    </w:p>
    <w:p>
      <w:pPr>
        <w:widowControl/>
        <w:adjustRightInd w:val="0"/>
        <w:snapToGrid w:val="0"/>
        <w:spacing w:line="360" w:lineRule="auto"/>
        <w:jc w:val="left"/>
        <w:rPr>
          <w:rFonts w:cs="宋体" w:asciiTheme="minorEastAsia" w:hAnsiTheme="minorEastAsia"/>
          <w:color w:val="auto"/>
          <w:kern w:val="0"/>
          <w:sz w:val="24"/>
          <w:lang w:val="zh-CN"/>
        </w:rPr>
      </w:pPr>
      <w:r>
        <w:rPr>
          <w:rFonts w:cs="宋体" w:asciiTheme="minorEastAsia" w:hAnsiTheme="minorEastAsia"/>
          <w:kern w:val="0"/>
          <w:sz w:val="24"/>
        </w:rPr>
        <w:t>4</w:t>
      </w:r>
      <w:r>
        <w:rPr>
          <w:rFonts w:hint="eastAsia" w:cs="宋体" w:asciiTheme="minorEastAsia" w:hAnsiTheme="minorEastAsia"/>
          <w:kern w:val="0"/>
          <w:sz w:val="24"/>
        </w:rPr>
        <w:t>、</w:t>
      </w:r>
      <w:r>
        <w:rPr>
          <w:rFonts w:hint="eastAsia" w:cs="宋体" w:asciiTheme="minorEastAsia" w:hAnsiTheme="minorEastAsia"/>
          <w:color w:val="auto"/>
          <w:kern w:val="0"/>
          <w:sz w:val="24"/>
        </w:rPr>
        <w:t>预算金额：</w:t>
      </w:r>
      <w:r>
        <w:rPr>
          <w:rFonts w:hint="eastAsia" w:cs="宋体" w:asciiTheme="minorEastAsia" w:hAnsiTheme="minorEastAsia"/>
          <w:color w:val="auto"/>
          <w:kern w:val="0"/>
          <w:sz w:val="24"/>
          <w:lang w:val="en-US" w:eastAsia="zh-CN"/>
        </w:rPr>
        <w:t>2650000.00</w:t>
      </w:r>
      <w:r>
        <w:rPr>
          <w:rFonts w:hint="eastAsia" w:cs="宋体" w:asciiTheme="minorEastAsia" w:hAnsiTheme="minorEastAsia"/>
          <w:color w:val="auto"/>
          <w:kern w:val="0"/>
          <w:sz w:val="24"/>
          <w:lang w:val="zh-CN"/>
        </w:rPr>
        <w:t xml:space="preserve">元    </w:t>
      </w:r>
    </w:p>
    <w:p>
      <w:pPr>
        <w:pStyle w:val="284"/>
        <w:ind w:firstLine="480" w:firstLineChars="200"/>
        <w:rPr>
          <w:color w:val="auto"/>
        </w:rPr>
      </w:pPr>
      <w:r>
        <w:rPr>
          <w:rStyle w:val="285"/>
          <w:rFonts w:hint="eastAsia"/>
          <w:color w:val="auto"/>
          <w:kern w:val="0"/>
          <w:sz w:val="24"/>
        </w:rPr>
        <w:t xml:space="preserve">最高限价：2650000.00元    </w:t>
      </w:r>
    </w:p>
    <w:tbl>
      <w:tblPr>
        <w:tblStyle w:val="45"/>
        <w:tblW w:w="892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44"/>
        <w:gridCol w:w="1367"/>
        <w:gridCol w:w="3560"/>
        <w:gridCol w:w="1654"/>
        <w:gridCol w:w="170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644" w:type="dxa"/>
            <w:tcBorders>
              <w:top w:val="single" w:color="000000" w:sz="4" w:space="0"/>
              <w:left w:val="single" w:color="000000" w:sz="4" w:space="0"/>
              <w:bottom w:val="single" w:color="000000" w:sz="4" w:space="0"/>
              <w:right w:val="single" w:color="000000" w:sz="4" w:space="0"/>
            </w:tcBorders>
            <w:vAlign w:val="center"/>
          </w:tcPr>
          <w:p>
            <w:pPr>
              <w:pStyle w:val="286"/>
              <w:spacing w:after="0" w:line="240" w:lineRule="auto"/>
              <w:jc w:val="center"/>
              <w:textAlignment w:val="auto"/>
              <w:rPr>
                <w:rStyle w:val="285"/>
                <w:color w:val="auto"/>
                <w:sz w:val="24"/>
                <w:szCs w:val="24"/>
              </w:rPr>
            </w:pPr>
            <w:r>
              <w:rPr>
                <w:rStyle w:val="285"/>
                <w:color w:val="auto"/>
                <w:sz w:val="24"/>
                <w:szCs w:val="24"/>
              </w:rPr>
              <w:t>序号</w:t>
            </w:r>
          </w:p>
        </w:tc>
        <w:tc>
          <w:tcPr>
            <w:tcW w:w="1367" w:type="dxa"/>
            <w:tcBorders>
              <w:top w:val="single" w:color="000000" w:sz="4" w:space="0"/>
              <w:left w:val="single" w:color="000000" w:sz="4" w:space="0"/>
              <w:bottom w:val="single" w:color="000000" w:sz="4" w:space="0"/>
              <w:right w:val="single" w:color="000000" w:sz="4" w:space="0"/>
            </w:tcBorders>
            <w:vAlign w:val="center"/>
          </w:tcPr>
          <w:p>
            <w:pPr>
              <w:pStyle w:val="286"/>
              <w:spacing w:after="0" w:line="240" w:lineRule="auto"/>
              <w:jc w:val="center"/>
              <w:textAlignment w:val="auto"/>
              <w:rPr>
                <w:rStyle w:val="285"/>
                <w:color w:val="auto"/>
                <w:sz w:val="24"/>
                <w:szCs w:val="24"/>
              </w:rPr>
            </w:pPr>
            <w:r>
              <w:rPr>
                <w:rStyle w:val="285"/>
                <w:color w:val="auto"/>
                <w:sz w:val="24"/>
                <w:szCs w:val="24"/>
              </w:rPr>
              <w:t>包号</w:t>
            </w:r>
          </w:p>
        </w:tc>
        <w:tc>
          <w:tcPr>
            <w:tcW w:w="3560" w:type="dxa"/>
            <w:tcBorders>
              <w:top w:val="single" w:color="000000" w:sz="4" w:space="0"/>
              <w:left w:val="single" w:color="000000" w:sz="4" w:space="0"/>
              <w:bottom w:val="single" w:color="000000" w:sz="4" w:space="0"/>
              <w:right w:val="single" w:color="000000" w:sz="4" w:space="0"/>
            </w:tcBorders>
            <w:vAlign w:val="center"/>
          </w:tcPr>
          <w:p>
            <w:pPr>
              <w:pStyle w:val="286"/>
              <w:spacing w:after="0" w:line="240" w:lineRule="auto"/>
              <w:jc w:val="center"/>
              <w:textAlignment w:val="auto"/>
              <w:rPr>
                <w:rStyle w:val="285"/>
                <w:color w:val="auto"/>
                <w:sz w:val="24"/>
                <w:szCs w:val="24"/>
              </w:rPr>
            </w:pPr>
            <w:r>
              <w:rPr>
                <w:rStyle w:val="285"/>
                <w:color w:val="auto"/>
                <w:sz w:val="24"/>
                <w:szCs w:val="24"/>
              </w:rPr>
              <w:t>包名称</w:t>
            </w:r>
          </w:p>
        </w:tc>
        <w:tc>
          <w:tcPr>
            <w:tcW w:w="1654" w:type="dxa"/>
            <w:tcBorders>
              <w:top w:val="single" w:color="000000" w:sz="4" w:space="0"/>
              <w:left w:val="single" w:color="000000" w:sz="4" w:space="0"/>
              <w:bottom w:val="single" w:color="000000" w:sz="4" w:space="0"/>
              <w:right w:val="single" w:color="000000" w:sz="4" w:space="0"/>
            </w:tcBorders>
            <w:vAlign w:val="center"/>
          </w:tcPr>
          <w:p>
            <w:pPr>
              <w:pStyle w:val="286"/>
              <w:spacing w:after="0" w:line="240" w:lineRule="auto"/>
              <w:jc w:val="center"/>
              <w:textAlignment w:val="auto"/>
              <w:rPr>
                <w:rStyle w:val="285"/>
                <w:color w:val="auto"/>
                <w:sz w:val="24"/>
                <w:szCs w:val="24"/>
              </w:rPr>
            </w:pPr>
            <w:r>
              <w:rPr>
                <w:rStyle w:val="285"/>
                <w:color w:val="auto"/>
                <w:sz w:val="24"/>
                <w:szCs w:val="24"/>
              </w:rPr>
              <w:t>包预算（元）</w:t>
            </w:r>
          </w:p>
        </w:tc>
        <w:tc>
          <w:tcPr>
            <w:tcW w:w="1701" w:type="dxa"/>
            <w:tcBorders>
              <w:top w:val="single" w:color="000000" w:sz="4" w:space="0"/>
              <w:left w:val="single" w:color="000000" w:sz="4" w:space="0"/>
              <w:bottom w:val="single" w:color="000000" w:sz="4" w:space="0"/>
              <w:right w:val="single" w:color="000000" w:sz="4" w:space="0"/>
            </w:tcBorders>
            <w:vAlign w:val="center"/>
          </w:tcPr>
          <w:p>
            <w:pPr>
              <w:pStyle w:val="286"/>
              <w:spacing w:after="0" w:line="240" w:lineRule="auto"/>
              <w:jc w:val="center"/>
              <w:textAlignment w:val="auto"/>
              <w:rPr>
                <w:rStyle w:val="285"/>
                <w:color w:val="auto"/>
                <w:sz w:val="24"/>
                <w:szCs w:val="24"/>
              </w:rPr>
            </w:pPr>
            <w:r>
              <w:rPr>
                <w:rStyle w:val="285"/>
                <w:color w:val="auto"/>
                <w:sz w:val="24"/>
                <w:szCs w:val="24"/>
              </w:rPr>
              <w:t>包最高限价（元）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644" w:type="dxa"/>
            <w:tcBorders>
              <w:top w:val="single" w:color="000000" w:sz="4" w:space="0"/>
              <w:left w:val="single" w:color="000000" w:sz="4" w:space="0"/>
              <w:bottom w:val="single" w:color="000000" w:sz="4" w:space="0"/>
              <w:right w:val="single" w:color="000000" w:sz="4" w:space="0"/>
            </w:tcBorders>
            <w:vAlign w:val="center"/>
          </w:tcPr>
          <w:p>
            <w:pPr>
              <w:pStyle w:val="286"/>
              <w:spacing w:after="0" w:line="240" w:lineRule="auto"/>
              <w:jc w:val="center"/>
              <w:textAlignment w:val="auto"/>
              <w:rPr>
                <w:rStyle w:val="285"/>
                <w:color w:val="auto"/>
                <w:sz w:val="24"/>
                <w:szCs w:val="24"/>
              </w:rPr>
            </w:pPr>
            <w:r>
              <w:rPr>
                <w:rStyle w:val="285"/>
                <w:color w:val="auto"/>
                <w:sz w:val="24"/>
                <w:szCs w:val="24"/>
              </w:rPr>
              <w:t>1</w:t>
            </w:r>
          </w:p>
        </w:tc>
        <w:tc>
          <w:tcPr>
            <w:tcW w:w="1367" w:type="dxa"/>
            <w:tcBorders>
              <w:top w:val="single" w:color="000000" w:sz="4" w:space="0"/>
              <w:left w:val="single" w:color="000000" w:sz="4" w:space="0"/>
              <w:bottom w:val="single" w:color="000000" w:sz="4" w:space="0"/>
              <w:right w:val="single" w:color="000000" w:sz="4" w:space="0"/>
            </w:tcBorders>
            <w:vAlign w:val="center"/>
          </w:tcPr>
          <w:p>
            <w:pPr>
              <w:pStyle w:val="286"/>
              <w:spacing w:after="0" w:line="240" w:lineRule="auto"/>
              <w:jc w:val="center"/>
              <w:textAlignment w:val="auto"/>
              <w:rPr>
                <w:rStyle w:val="285"/>
                <w:color w:val="auto"/>
                <w:sz w:val="24"/>
                <w:szCs w:val="24"/>
              </w:rPr>
            </w:pPr>
            <w:r>
              <w:rPr>
                <w:rStyle w:val="285"/>
                <w:rFonts w:hint="eastAsia"/>
                <w:color w:val="auto"/>
                <w:sz w:val="24"/>
                <w:szCs w:val="24"/>
              </w:rPr>
              <w:t>郑财磋商采购-2020-74</w:t>
            </w:r>
          </w:p>
        </w:tc>
        <w:tc>
          <w:tcPr>
            <w:tcW w:w="3560" w:type="dxa"/>
            <w:tcBorders>
              <w:top w:val="single" w:color="000000" w:sz="4" w:space="0"/>
              <w:left w:val="single" w:color="000000" w:sz="4" w:space="0"/>
              <w:bottom w:val="single" w:color="000000" w:sz="4" w:space="0"/>
              <w:right w:val="single" w:color="000000" w:sz="4" w:space="0"/>
            </w:tcBorders>
            <w:vAlign w:val="center"/>
          </w:tcPr>
          <w:p>
            <w:pPr>
              <w:pStyle w:val="286"/>
              <w:spacing w:after="0" w:line="240" w:lineRule="auto"/>
              <w:jc w:val="center"/>
              <w:textAlignment w:val="auto"/>
              <w:rPr>
                <w:rStyle w:val="285"/>
                <w:color w:val="auto"/>
                <w:sz w:val="24"/>
                <w:szCs w:val="24"/>
              </w:rPr>
            </w:pPr>
            <w:r>
              <w:rPr>
                <w:rStyle w:val="285"/>
                <w:rFonts w:hint="eastAsia"/>
                <w:color w:val="auto"/>
                <w:sz w:val="24"/>
                <w:szCs w:val="24"/>
              </w:rPr>
              <w:t xml:space="preserve">郑州市蔬菜研究所“郑州市蔬菜研究所 科研楼”供配电工程   </w:t>
            </w:r>
          </w:p>
        </w:tc>
        <w:tc>
          <w:tcPr>
            <w:tcW w:w="1654" w:type="dxa"/>
            <w:tcBorders>
              <w:top w:val="single" w:color="000000" w:sz="4" w:space="0"/>
              <w:left w:val="single" w:color="000000" w:sz="4" w:space="0"/>
              <w:bottom w:val="single" w:color="000000" w:sz="4" w:space="0"/>
              <w:right w:val="single" w:color="000000" w:sz="4" w:space="0"/>
            </w:tcBorders>
            <w:vAlign w:val="center"/>
          </w:tcPr>
          <w:p>
            <w:pPr>
              <w:pStyle w:val="284"/>
              <w:spacing w:after="0" w:line="240" w:lineRule="auto"/>
              <w:jc w:val="both"/>
              <w:textAlignment w:val="auto"/>
              <w:rPr>
                <w:rStyle w:val="285"/>
                <w:color w:val="auto"/>
                <w:sz w:val="24"/>
                <w:szCs w:val="24"/>
              </w:rPr>
            </w:pPr>
            <w:r>
              <w:rPr>
                <w:rFonts w:hint="eastAsia" w:cs="宋体" w:asciiTheme="minorEastAsia" w:hAnsiTheme="minorEastAsia"/>
                <w:color w:val="auto"/>
                <w:kern w:val="0"/>
                <w:sz w:val="24"/>
                <w:lang w:val="en-US" w:eastAsia="zh-CN"/>
              </w:rPr>
              <w:t>2650000.00</w:t>
            </w:r>
            <w:r>
              <w:rPr>
                <w:rFonts w:hint="eastAsia" w:cs="宋体" w:asciiTheme="minorEastAsia" w:hAnsiTheme="minorEastAsia"/>
                <w:color w:val="auto"/>
                <w:kern w:val="0"/>
                <w:sz w:val="24"/>
                <w:lang w:val="zh-CN"/>
              </w:rPr>
              <w:t xml:space="preserve">元   </w:t>
            </w:r>
          </w:p>
        </w:tc>
        <w:tc>
          <w:tcPr>
            <w:tcW w:w="1701" w:type="dxa"/>
            <w:tcBorders>
              <w:top w:val="single" w:color="000000" w:sz="4" w:space="0"/>
              <w:left w:val="single" w:color="000000" w:sz="4" w:space="0"/>
              <w:bottom w:val="single" w:color="000000" w:sz="4" w:space="0"/>
              <w:right w:val="single" w:color="000000" w:sz="4" w:space="0"/>
            </w:tcBorders>
            <w:vAlign w:val="center"/>
          </w:tcPr>
          <w:p>
            <w:pPr>
              <w:pStyle w:val="284"/>
              <w:spacing w:after="0" w:line="240" w:lineRule="auto"/>
              <w:jc w:val="both"/>
              <w:textAlignment w:val="auto"/>
              <w:rPr>
                <w:rStyle w:val="285"/>
                <w:color w:val="auto"/>
                <w:sz w:val="24"/>
                <w:szCs w:val="24"/>
              </w:rPr>
            </w:pPr>
            <w:r>
              <w:rPr>
                <w:rFonts w:hint="eastAsia" w:cs="宋体" w:asciiTheme="minorEastAsia" w:hAnsiTheme="minorEastAsia"/>
                <w:color w:val="auto"/>
                <w:kern w:val="0"/>
                <w:sz w:val="24"/>
                <w:lang w:val="en-US" w:eastAsia="zh-CN"/>
              </w:rPr>
              <w:t>2650000.00</w:t>
            </w:r>
            <w:r>
              <w:rPr>
                <w:rFonts w:hint="eastAsia" w:cs="宋体" w:asciiTheme="minorEastAsia" w:hAnsiTheme="minorEastAsia"/>
                <w:color w:val="auto"/>
                <w:kern w:val="0"/>
                <w:sz w:val="24"/>
                <w:lang w:val="zh-CN"/>
              </w:rPr>
              <w:t xml:space="preserve">元   </w:t>
            </w:r>
          </w:p>
        </w:tc>
      </w:tr>
    </w:tbl>
    <w:p>
      <w:pPr>
        <w:widowControl/>
        <w:numPr>
          <w:ilvl w:val="0"/>
          <w:numId w:val="1"/>
        </w:numPr>
        <w:adjustRightInd w:val="0"/>
        <w:snapToGrid w:val="0"/>
        <w:spacing w:line="360" w:lineRule="auto"/>
        <w:jc w:val="left"/>
        <w:rPr>
          <w:rFonts w:hint="eastAsia" w:cs="宋体" w:asciiTheme="minorEastAsia" w:hAnsiTheme="minorEastAsia"/>
          <w:kern w:val="0"/>
          <w:sz w:val="24"/>
          <w:lang w:val="zh-CN"/>
        </w:rPr>
      </w:pPr>
      <w:r>
        <w:rPr>
          <w:rFonts w:hint="eastAsia" w:cs="宋体" w:asciiTheme="minorEastAsia" w:hAnsiTheme="minorEastAsia"/>
          <w:kern w:val="0"/>
          <w:sz w:val="24"/>
          <w:lang w:val="zh-CN"/>
        </w:rPr>
        <w:t>采购需求：1、长江路二配开闭所扩容；2长江路二配至郑州市蔬菜研究所科研楼新建两条240平方电力电缆；3、新建高低压配电设施；4、既有电气设备拆除与更换（1、原有箱变基础、砼杆、分支箱的拆除，家属院表箱、低压动力箱的更换）等，具体以施工图和工程量清单为准。</w:t>
      </w:r>
    </w:p>
    <w:p>
      <w:pPr>
        <w:widowControl/>
        <w:numPr>
          <w:ilvl w:val="0"/>
          <w:numId w:val="0"/>
        </w:numPr>
        <w:adjustRightInd w:val="0"/>
        <w:snapToGrid w:val="0"/>
        <w:spacing w:line="360" w:lineRule="auto"/>
        <w:jc w:val="left"/>
        <w:rPr>
          <w:rFonts w:cs="宋体" w:asciiTheme="minorEastAsia" w:hAnsiTheme="minorEastAsia"/>
          <w:kern w:val="0"/>
          <w:sz w:val="24"/>
        </w:rPr>
      </w:pPr>
      <w:r>
        <w:rPr>
          <w:rFonts w:hint="eastAsia" w:cs="宋体" w:asciiTheme="minorEastAsia" w:hAnsiTheme="minorEastAsia"/>
          <w:kern w:val="0"/>
          <w:sz w:val="24"/>
          <w:lang w:val="zh-CN"/>
        </w:rPr>
        <w:t>6、合同履行期限：合同签</w:t>
      </w:r>
      <w:r>
        <w:rPr>
          <w:rFonts w:hint="eastAsia" w:cs="宋体" w:asciiTheme="minorEastAsia" w:hAnsiTheme="minorEastAsia"/>
          <w:color w:val="FF0000"/>
          <w:kern w:val="0"/>
          <w:sz w:val="24"/>
          <w:lang w:val="zh-CN"/>
        </w:rPr>
        <w:t>订后</w:t>
      </w:r>
      <w:r>
        <w:rPr>
          <w:rFonts w:hint="eastAsia" w:cs="宋体" w:asciiTheme="minorEastAsia" w:hAnsiTheme="minorEastAsia"/>
          <w:color w:val="FF0000"/>
          <w:kern w:val="0"/>
          <w:sz w:val="24"/>
          <w:lang w:val="en-US" w:eastAsia="zh-CN"/>
        </w:rPr>
        <w:t>90</w:t>
      </w:r>
      <w:r>
        <w:rPr>
          <w:rFonts w:hint="eastAsia" w:cs="宋体" w:asciiTheme="minorEastAsia" w:hAnsiTheme="minorEastAsia"/>
          <w:color w:val="FF0000"/>
          <w:kern w:val="0"/>
          <w:sz w:val="24"/>
        </w:rPr>
        <w:t>日历天</w:t>
      </w:r>
    </w:p>
    <w:p>
      <w:pPr>
        <w:widowControl/>
        <w:adjustRightInd w:val="0"/>
        <w:snapToGrid w:val="0"/>
        <w:spacing w:line="360" w:lineRule="auto"/>
        <w:jc w:val="left"/>
        <w:rPr>
          <w:rFonts w:cs="宋体" w:asciiTheme="minorEastAsia" w:hAnsiTheme="minorEastAsia"/>
          <w:kern w:val="0"/>
          <w:sz w:val="24"/>
          <w:lang w:val="zh-CN"/>
        </w:rPr>
      </w:pPr>
      <w:r>
        <w:rPr>
          <w:rFonts w:hint="eastAsia" w:cs="宋体" w:asciiTheme="minorEastAsia" w:hAnsiTheme="minorEastAsia"/>
          <w:kern w:val="0"/>
          <w:sz w:val="24"/>
          <w:lang w:val="zh-CN"/>
        </w:rPr>
        <w:t>7、本项目是否接受联合体投标：否</w:t>
      </w:r>
    </w:p>
    <w:p>
      <w:pPr>
        <w:widowControl/>
        <w:adjustRightInd w:val="0"/>
        <w:snapToGrid w:val="0"/>
        <w:spacing w:line="360" w:lineRule="auto"/>
        <w:jc w:val="left"/>
        <w:rPr>
          <w:rFonts w:hint="eastAsia" w:eastAsia="宋体" w:cs="宋体" w:asciiTheme="minorEastAsia" w:hAnsiTheme="minorEastAsia"/>
          <w:kern w:val="0"/>
          <w:sz w:val="24"/>
          <w:lang w:val="zh-CN" w:eastAsia="zh-CN"/>
        </w:rPr>
      </w:pPr>
      <w:r>
        <w:rPr>
          <w:rFonts w:hint="eastAsia" w:cs="宋体" w:asciiTheme="minorEastAsia" w:hAnsiTheme="minorEastAsia"/>
          <w:kern w:val="0"/>
          <w:sz w:val="24"/>
          <w:lang w:val="zh-CN"/>
        </w:rPr>
        <w:t>8、</w:t>
      </w:r>
      <w:r>
        <w:rPr>
          <w:rFonts w:ascii="宋体" w:hAnsi="宋体" w:eastAsia="宋体" w:cs="宋体"/>
          <w:kern w:val="0"/>
          <w:sz w:val="24"/>
          <w:szCs w:val="24"/>
          <w:lang w:bidi="ar"/>
        </w:rPr>
        <w:t>是否接受进口产品：</w:t>
      </w:r>
      <w:r>
        <w:rPr>
          <w:rFonts w:hint="eastAsia" w:ascii="宋体" w:hAnsi="宋体" w:eastAsia="宋体" w:cs="宋体"/>
          <w:kern w:val="0"/>
          <w:sz w:val="24"/>
          <w:szCs w:val="24"/>
          <w:lang w:bidi="ar"/>
        </w:rPr>
        <w:t>否</w:t>
      </w:r>
      <w:r>
        <w:rPr>
          <w:rFonts w:hint="eastAsia" w:ascii="宋体" w:hAnsi="宋体" w:eastAsia="宋体" w:cs="宋体"/>
          <w:kern w:val="0"/>
          <w:sz w:val="24"/>
          <w:szCs w:val="24"/>
          <w:lang w:eastAsia="zh-CN" w:bidi="ar"/>
        </w:rPr>
        <w:t>；</w:t>
      </w:r>
    </w:p>
    <w:tbl>
      <w:tblPr>
        <w:tblStyle w:val="45"/>
        <w:tblW w:w="8396" w:type="dxa"/>
        <w:tblCellSpacing w:w="15" w:type="dxa"/>
        <w:tblInd w:w="0" w:type="dxa"/>
        <w:tblLayout w:type="fixed"/>
        <w:tblCellMar>
          <w:top w:w="15" w:type="dxa"/>
          <w:left w:w="15" w:type="dxa"/>
          <w:bottom w:w="15" w:type="dxa"/>
          <w:right w:w="15" w:type="dxa"/>
        </w:tblCellMar>
      </w:tblPr>
      <w:tblGrid>
        <w:gridCol w:w="8396"/>
      </w:tblGrid>
      <w:tr>
        <w:tblPrEx>
          <w:tblCellMar>
            <w:top w:w="15" w:type="dxa"/>
            <w:left w:w="15" w:type="dxa"/>
            <w:bottom w:w="15" w:type="dxa"/>
            <w:right w:w="15" w:type="dxa"/>
          </w:tblCellMar>
        </w:tblPrEx>
        <w:trPr>
          <w:tblCellSpacing w:w="15" w:type="dxa"/>
        </w:trPr>
        <w:tc>
          <w:tcPr>
            <w:tcW w:w="8336" w:type="dxa"/>
            <w:shd w:val="clear" w:color="auto" w:fill="auto"/>
            <w:vAlign w:val="center"/>
          </w:tcPr>
          <w:p>
            <w:pPr>
              <w:widowControl/>
              <w:jc w:val="left"/>
            </w:pPr>
            <w:r>
              <w:rPr>
                <w:rFonts w:ascii="宋体" w:hAnsi="宋体" w:eastAsia="宋体" w:cs="宋体"/>
                <w:kern w:val="0"/>
                <w:sz w:val="24"/>
                <w:szCs w:val="24"/>
                <w:lang w:bidi="ar"/>
              </w:rPr>
              <w:t>二、申请人资格要求：</w:t>
            </w:r>
          </w:p>
        </w:tc>
      </w:tr>
      <w:tr>
        <w:tblPrEx>
          <w:tblCellMar>
            <w:top w:w="15" w:type="dxa"/>
            <w:left w:w="15" w:type="dxa"/>
            <w:bottom w:w="15" w:type="dxa"/>
            <w:right w:w="15" w:type="dxa"/>
          </w:tblCellMar>
        </w:tblPrEx>
        <w:trPr>
          <w:trHeight w:val="312" w:hRule="atLeast"/>
          <w:tblCellSpacing w:w="15" w:type="dxa"/>
        </w:trPr>
        <w:tc>
          <w:tcPr>
            <w:tcW w:w="8336" w:type="dxa"/>
            <w:shd w:val="clear" w:color="auto" w:fill="auto"/>
            <w:vAlign w:val="center"/>
          </w:tcPr>
          <w:p>
            <w:pPr>
              <w:widowControl/>
              <w:jc w:val="left"/>
            </w:pPr>
            <w:r>
              <w:rPr>
                <w:rFonts w:ascii="宋体" w:hAnsi="宋体" w:eastAsia="宋体" w:cs="宋体"/>
                <w:kern w:val="0"/>
                <w:sz w:val="24"/>
                <w:szCs w:val="24"/>
                <w:lang w:bidi="ar"/>
              </w:rPr>
              <w:t>1、满足《中华人民共和国政府采购法》第二十二条规定；</w:t>
            </w:r>
          </w:p>
        </w:tc>
      </w:tr>
      <w:tr>
        <w:tblPrEx>
          <w:tblCellMar>
            <w:top w:w="15" w:type="dxa"/>
            <w:left w:w="15" w:type="dxa"/>
            <w:bottom w:w="15" w:type="dxa"/>
            <w:right w:w="15" w:type="dxa"/>
          </w:tblCellMar>
        </w:tblPrEx>
        <w:trPr>
          <w:tblCellSpacing w:w="15" w:type="dxa"/>
        </w:trPr>
        <w:tc>
          <w:tcPr>
            <w:tcW w:w="8336" w:type="dxa"/>
            <w:shd w:val="clear" w:color="auto" w:fill="auto"/>
            <w:vAlign w:val="center"/>
          </w:tcPr>
          <w:p>
            <w:pPr>
              <w:widowControl/>
              <w:jc w:val="left"/>
              <w:rPr>
                <w:rFonts w:eastAsia="宋体"/>
              </w:rPr>
            </w:pPr>
            <w:r>
              <w:rPr>
                <w:rFonts w:hint="eastAsia" w:ascii="宋体" w:hAnsi="宋体" w:eastAsia="宋体" w:cs="宋体"/>
                <w:kern w:val="0"/>
                <w:sz w:val="24"/>
                <w:szCs w:val="24"/>
                <w:lang w:bidi="ar"/>
              </w:rPr>
              <w:t>2、</w:t>
            </w:r>
            <w:r>
              <w:rPr>
                <w:rFonts w:ascii="宋体" w:hAnsi="宋体" w:eastAsia="宋体" w:cs="宋体"/>
                <w:kern w:val="0"/>
                <w:sz w:val="24"/>
                <w:szCs w:val="24"/>
                <w:lang w:bidi="ar"/>
              </w:rPr>
              <w:t>落实政府采购政策满足的资格要求</w:t>
            </w:r>
            <w:r>
              <w:rPr>
                <w:rFonts w:hint="eastAsia" w:ascii="宋体" w:hAnsi="宋体" w:eastAsia="宋体" w:cs="宋体"/>
                <w:kern w:val="0"/>
                <w:sz w:val="24"/>
                <w:szCs w:val="24"/>
                <w:lang w:bidi="ar"/>
              </w:rPr>
              <w:t xml:space="preserve">： 无                                                                  </w:t>
            </w:r>
          </w:p>
        </w:tc>
      </w:tr>
      <w:tr>
        <w:tblPrEx>
          <w:tblCellMar>
            <w:top w:w="15" w:type="dxa"/>
            <w:left w:w="15" w:type="dxa"/>
            <w:bottom w:w="15" w:type="dxa"/>
            <w:right w:w="15" w:type="dxa"/>
          </w:tblCellMar>
        </w:tblPrEx>
        <w:trPr>
          <w:trHeight w:val="90" w:hRule="atLeast"/>
          <w:tblCellSpacing w:w="15" w:type="dxa"/>
        </w:trPr>
        <w:tc>
          <w:tcPr>
            <w:tcW w:w="8336" w:type="dxa"/>
            <w:shd w:val="clear" w:color="auto" w:fill="auto"/>
            <w:vAlign w:val="center"/>
          </w:tcPr>
          <w:p>
            <w:pPr>
              <w:widowControl/>
              <w:jc w:val="left"/>
            </w:pPr>
            <w:r>
              <w:rPr>
                <w:rFonts w:ascii="宋体" w:hAnsi="宋体" w:eastAsia="宋体" w:cs="宋体"/>
                <w:kern w:val="0"/>
                <w:sz w:val="24"/>
                <w:szCs w:val="24"/>
                <w:lang w:bidi="ar"/>
              </w:rPr>
              <w:t>3、本项目的资格要求</w:t>
            </w:r>
          </w:p>
        </w:tc>
      </w:tr>
      <w:tr>
        <w:tblPrEx>
          <w:tblCellMar>
            <w:top w:w="15" w:type="dxa"/>
            <w:left w:w="15" w:type="dxa"/>
            <w:bottom w:w="15" w:type="dxa"/>
            <w:right w:w="15" w:type="dxa"/>
          </w:tblCellMar>
        </w:tblPrEx>
        <w:trPr>
          <w:trHeight w:val="90" w:hRule="atLeast"/>
          <w:tblCellSpacing w:w="15" w:type="dxa"/>
        </w:trPr>
        <w:tc>
          <w:tcPr>
            <w:tcW w:w="8336" w:type="dxa"/>
            <w:shd w:val="clear" w:color="auto" w:fill="auto"/>
            <w:vAlign w:val="center"/>
          </w:tcPr>
          <w:p>
            <w:pPr>
              <w:widowControl/>
              <w:adjustRightInd w:val="0"/>
              <w:snapToGrid w:val="0"/>
              <w:spacing w:line="360" w:lineRule="auto"/>
              <w:ind w:left="480"/>
              <w:jc w:val="left"/>
              <w:rPr>
                <w:rFonts w:hint="default" w:cs="宋体" w:asciiTheme="minorEastAsia" w:hAnsiTheme="minorEastAsia" w:eastAsiaTheme="minorEastAsia"/>
                <w:color w:val="auto"/>
                <w:kern w:val="0"/>
                <w:sz w:val="24"/>
                <w:lang w:val="en-US" w:eastAsia="zh-CN"/>
              </w:rPr>
            </w:pPr>
            <w:r>
              <w:rPr>
                <w:rFonts w:hint="eastAsia" w:cs="宋体" w:asciiTheme="minorEastAsia" w:hAnsiTheme="minorEastAsia"/>
                <w:kern w:val="0"/>
                <w:sz w:val="24"/>
                <w:lang w:val="en-US" w:eastAsia="zh-CN"/>
              </w:rPr>
              <w:t>3.1</w:t>
            </w:r>
            <w:r>
              <w:rPr>
                <w:rFonts w:hint="eastAsia" w:cs="宋体" w:asciiTheme="minorEastAsia" w:hAnsiTheme="minorEastAsia"/>
                <w:kern w:val="0"/>
                <w:sz w:val="24"/>
              </w:rPr>
              <w:t>、</w:t>
            </w:r>
            <w:r>
              <w:rPr>
                <w:rFonts w:hint="eastAsia" w:cs="宋体" w:asciiTheme="minorEastAsia" w:hAnsiTheme="minorEastAsia"/>
                <w:color w:val="auto"/>
                <w:kern w:val="0"/>
                <w:sz w:val="24"/>
              </w:rPr>
              <w:t>投标人应具有承装（修、试）电力设施许可证均为四级及以上资质或输变电工程专业承包三级及以上资质或电力工程施工总承包三级及以上资</w:t>
            </w:r>
            <w:r>
              <w:rPr>
                <w:rFonts w:hint="eastAsia" w:cs="宋体" w:asciiTheme="minorEastAsia" w:hAnsiTheme="minorEastAsia"/>
                <w:color w:val="FF0000"/>
                <w:kern w:val="0"/>
                <w:sz w:val="24"/>
              </w:rPr>
              <w:t>质</w:t>
            </w:r>
            <w:r>
              <w:rPr>
                <w:rFonts w:hint="eastAsia" w:cs="宋体" w:asciiTheme="minorEastAsia" w:hAnsiTheme="minorEastAsia"/>
                <w:color w:val="FF0000"/>
                <w:kern w:val="0"/>
                <w:sz w:val="24"/>
                <w:lang w:val="en-US" w:eastAsia="zh-CN"/>
              </w:rPr>
              <w:t>;具有有效的安全生产许可证。</w:t>
            </w:r>
          </w:p>
          <w:p>
            <w:pPr>
              <w:widowControl/>
              <w:adjustRightInd w:val="0"/>
              <w:snapToGrid w:val="0"/>
              <w:spacing w:line="360" w:lineRule="auto"/>
              <w:ind w:left="480"/>
              <w:jc w:val="left"/>
              <w:rPr>
                <w:rFonts w:hint="eastAsia" w:cs="宋体" w:asciiTheme="minorEastAsia" w:hAnsiTheme="minorEastAsia"/>
                <w:kern w:val="0"/>
                <w:sz w:val="24"/>
              </w:rPr>
            </w:pPr>
            <w:r>
              <w:rPr>
                <w:rFonts w:hint="eastAsia" w:cs="宋体" w:asciiTheme="minorEastAsia" w:hAnsiTheme="minorEastAsia"/>
                <w:kern w:val="0"/>
                <w:sz w:val="24"/>
                <w:lang w:val="en-US" w:eastAsia="zh-CN"/>
              </w:rPr>
              <w:t>3.2、</w:t>
            </w:r>
            <w:r>
              <w:rPr>
                <w:rFonts w:hint="eastAsia" w:cs="宋体" w:asciiTheme="minorEastAsia" w:hAnsiTheme="minorEastAsia"/>
                <w:kern w:val="0"/>
                <w:sz w:val="24"/>
              </w:rPr>
              <w:t>投标人至少配备1名项目经理，项目经理须取得建造师、安全员证书（B类）；具备有效的安全生产考核合格证书，且未担任其他在施建设工程项目；</w:t>
            </w:r>
          </w:p>
          <w:p>
            <w:pPr>
              <w:widowControl/>
              <w:adjustRightInd w:val="0"/>
              <w:snapToGrid w:val="0"/>
              <w:spacing w:line="360" w:lineRule="auto"/>
              <w:ind w:left="480"/>
              <w:jc w:val="left"/>
              <w:rPr>
                <w:rFonts w:hint="eastAsia" w:cs="宋体" w:asciiTheme="minorEastAsia" w:hAnsiTheme="minorEastAsia"/>
                <w:kern w:val="0"/>
                <w:sz w:val="24"/>
              </w:rPr>
            </w:pPr>
            <w:r>
              <w:rPr>
                <w:rFonts w:hint="eastAsia" w:cs="宋体" w:asciiTheme="minorEastAsia" w:hAnsiTheme="minorEastAsia"/>
                <w:kern w:val="0"/>
                <w:sz w:val="24"/>
              </w:rPr>
              <w:t>投标人至少配置1个施工队伍，施工队伍人数不少于5人，且至少配备1名专职安全员，安全员须取得安全员证书（C类）；具有电工进网许可证或电工作业操作证（其中高压不低于4人），且在投标人处注册。</w:t>
            </w:r>
          </w:p>
          <w:p>
            <w:pPr>
              <w:widowControl/>
              <w:adjustRightInd w:val="0"/>
              <w:snapToGrid w:val="0"/>
              <w:spacing w:line="360" w:lineRule="auto"/>
              <w:ind w:left="480"/>
              <w:jc w:val="left"/>
              <w:rPr>
                <w:rFonts w:hint="eastAsia" w:cs="宋体" w:asciiTheme="minorEastAsia" w:hAnsiTheme="minorEastAsia"/>
                <w:color w:val="auto"/>
                <w:kern w:val="0"/>
                <w:sz w:val="24"/>
              </w:rPr>
            </w:pPr>
            <w:r>
              <w:rPr>
                <w:rFonts w:hint="eastAsia" w:cs="宋体" w:asciiTheme="minorEastAsia" w:hAnsiTheme="minorEastAsia"/>
                <w:kern w:val="0"/>
                <w:sz w:val="24"/>
                <w:lang w:val="en-US" w:eastAsia="zh-CN"/>
              </w:rPr>
              <w:t>3.3、</w:t>
            </w:r>
            <w:r>
              <w:rPr>
                <w:rFonts w:hint="eastAsia" w:cs="宋体" w:asciiTheme="minorEastAsia" w:hAnsiTheme="minorEastAsia"/>
                <w:color w:val="auto"/>
                <w:kern w:val="0"/>
                <w:sz w:val="24"/>
              </w:rPr>
              <w:t>投标人2017年1月1日至今至少完成单合同金额300万以上的外电引入相关案例2个。</w:t>
            </w:r>
          </w:p>
          <w:p>
            <w:pPr>
              <w:widowControl/>
              <w:adjustRightInd w:val="0"/>
              <w:snapToGrid w:val="0"/>
              <w:spacing w:line="360" w:lineRule="auto"/>
              <w:ind w:left="480"/>
              <w:jc w:val="left"/>
              <w:rPr>
                <w:rFonts w:hint="eastAsia" w:cs="宋体" w:asciiTheme="minorEastAsia" w:hAnsiTheme="minorEastAsia"/>
                <w:kern w:val="0"/>
                <w:sz w:val="24"/>
              </w:rPr>
            </w:pPr>
            <w:r>
              <w:rPr>
                <w:rFonts w:hint="eastAsia" w:cs="宋体" w:asciiTheme="minorEastAsia" w:hAnsiTheme="minorEastAsia"/>
                <w:kern w:val="0"/>
                <w:sz w:val="24"/>
                <w:lang w:val="en-US" w:eastAsia="zh-CN"/>
              </w:rPr>
              <w:t>3.4、</w:t>
            </w:r>
            <w:r>
              <w:rPr>
                <w:rFonts w:hint="eastAsia" w:cs="宋体" w:asciiTheme="minorEastAsia" w:hAnsiTheme="minorEastAsia"/>
                <w:kern w:val="0"/>
                <w:sz w:val="24"/>
              </w:rPr>
              <w:t>根据《关于在政府采购活动中查询及使用信用记录有关问题的通知》(财库[2016]125号) 和豫财购【2016】15号的规定，对列入失信被执行人、重大税收违法案件当事人名单、政府采购严重违法失信行为记录名单的</w:t>
            </w:r>
            <w:r>
              <w:rPr>
                <w:rFonts w:hint="eastAsia" w:cs="宋体" w:asciiTheme="minorEastAsia" w:hAnsiTheme="minorEastAsia"/>
                <w:kern w:val="0"/>
                <w:sz w:val="24"/>
                <w:lang w:eastAsia="zh-CN"/>
              </w:rPr>
              <w:t>响应人</w:t>
            </w:r>
            <w:r>
              <w:rPr>
                <w:rFonts w:hint="eastAsia" w:cs="宋体" w:asciiTheme="minorEastAsia" w:hAnsiTheme="minorEastAsia"/>
                <w:kern w:val="0"/>
                <w:sz w:val="24"/>
              </w:rPr>
              <w:t>，拒绝参与本项目政府采购活动；【查询渠道：在 “信用中国”网站中查询“失信被执行人”和 “重大税收违法案件当事人名单”（http://www.creditchina.gov.cn/），在“中国政府采购网”网站中查询“政府采购严重违法失信行为记录名单” （www.ccgp.gov.cn）。】；</w:t>
            </w:r>
          </w:p>
          <w:p>
            <w:pPr>
              <w:widowControl/>
              <w:adjustRightInd w:val="0"/>
              <w:snapToGrid w:val="0"/>
              <w:spacing w:line="360" w:lineRule="auto"/>
              <w:ind w:left="480"/>
              <w:jc w:val="left"/>
              <w:rPr>
                <w:rFonts w:cs="宋体" w:asciiTheme="minorEastAsia" w:hAnsiTheme="minorEastAsia"/>
                <w:kern w:val="0"/>
                <w:sz w:val="24"/>
              </w:rPr>
            </w:pPr>
            <w:r>
              <w:rPr>
                <w:rFonts w:hint="eastAsia" w:cs="宋体" w:asciiTheme="minorEastAsia" w:hAnsiTheme="minorEastAsia"/>
                <w:kern w:val="0"/>
                <w:sz w:val="24"/>
                <w:lang w:val="en-US" w:eastAsia="zh-CN"/>
              </w:rPr>
              <w:t>3.5、</w:t>
            </w:r>
            <w:r>
              <w:rPr>
                <w:rFonts w:hint="eastAsia" w:cs="宋体" w:asciiTheme="minorEastAsia" w:hAnsiTheme="minorEastAsia"/>
                <w:kern w:val="0"/>
                <w:sz w:val="24"/>
              </w:rPr>
              <w:t>单位负责人为同一人或者存在直接控股、管理关系的不同</w:t>
            </w:r>
            <w:r>
              <w:rPr>
                <w:rFonts w:hint="eastAsia" w:cs="宋体" w:asciiTheme="minorEastAsia" w:hAnsiTheme="minorEastAsia"/>
                <w:kern w:val="0"/>
                <w:sz w:val="24"/>
                <w:lang w:eastAsia="zh-CN"/>
              </w:rPr>
              <w:t>响应人</w:t>
            </w:r>
            <w:r>
              <w:rPr>
                <w:rFonts w:hint="eastAsia" w:cs="宋体" w:asciiTheme="minorEastAsia" w:hAnsiTheme="minorEastAsia"/>
                <w:kern w:val="0"/>
                <w:sz w:val="24"/>
              </w:rPr>
              <w:t>，不得参加同一合同项下的政府采购活动；</w:t>
            </w:r>
          </w:p>
        </w:tc>
      </w:tr>
      <w:tr>
        <w:tblPrEx>
          <w:tblCellMar>
            <w:top w:w="15" w:type="dxa"/>
            <w:left w:w="15" w:type="dxa"/>
            <w:bottom w:w="15" w:type="dxa"/>
            <w:right w:w="15" w:type="dxa"/>
          </w:tblCellMar>
        </w:tblPrEx>
        <w:trPr>
          <w:tblCellSpacing w:w="15" w:type="dxa"/>
        </w:trPr>
        <w:tc>
          <w:tcPr>
            <w:tcW w:w="8336" w:type="dxa"/>
            <w:shd w:val="clear" w:color="auto" w:fill="auto"/>
            <w:vAlign w:val="center"/>
          </w:tcPr>
          <w:p>
            <w:pPr>
              <w:widowControl/>
              <w:spacing w:line="360" w:lineRule="auto"/>
              <w:jc w:val="left"/>
            </w:pPr>
            <w:r>
              <w:rPr>
                <w:rFonts w:ascii="宋体" w:hAnsi="宋体" w:eastAsia="宋体" w:cs="宋体"/>
                <w:kern w:val="0"/>
                <w:sz w:val="24"/>
                <w:szCs w:val="24"/>
                <w:lang w:bidi="ar"/>
              </w:rPr>
              <w:t>三、获取磋商文件</w:t>
            </w:r>
          </w:p>
        </w:tc>
      </w:tr>
      <w:tr>
        <w:tblPrEx>
          <w:tblCellMar>
            <w:top w:w="15" w:type="dxa"/>
            <w:left w:w="15" w:type="dxa"/>
            <w:bottom w:w="15" w:type="dxa"/>
            <w:right w:w="15" w:type="dxa"/>
          </w:tblCellMar>
        </w:tblPrEx>
        <w:trPr>
          <w:tblCellSpacing w:w="15" w:type="dxa"/>
        </w:trPr>
        <w:tc>
          <w:tcPr>
            <w:tcW w:w="8336" w:type="dxa"/>
            <w:shd w:val="clear" w:color="auto" w:fill="auto"/>
            <w:vAlign w:val="center"/>
          </w:tcPr>
          <w:p>
            <w:pPr>
              <w:widowControl/>
              <w:spacing w:line="360" w:lineRule="auto"/>
              <w:jc w:val="left"/>
            </w:pPr>
            <w:r>
              <w:rPr>
                <w:rFonts w:ascii="宋体" w:hAnsi="宋体" w:eastAsia="宋体" w:cs="宋体"/>
                <w:kern w:val="0"/>
                <w:sz w:val="24"/>
                <w:szCs w:val="24"/>
                <w:lang w:bidi="ar"/>
              </w:rPr>
              <w:t>1.时间：</w:t>
            </w:r>
            <w:r>
              <w:rPr>
                <w:rFonts w:ascii="宋体" w:hAnsi="宋体" w:eastAsia="宋体" w:cs="宋体"/>
                <w:color w:val="auto"/>
                <w:kern w:val="0"/>
                <w:sz w:val="24"/>
                <w:szCs w:val="24"/>
                <w:lang w:bidi="ar"/>
              </w:rPr>
              <w:t>2020</w:t>
            </w:r>
            <w:r>
              <w:rPr>
                <w:rFonts w:hint="eastAsia" w:ascii="宋体" w:hAnsi="宋体" w:eastAsia="宋体" w:cs="宋体"/>
                <w:color w:val="auto"/>
                <w:kern w:val="0"/>
                <w:sz w:val="24"/>
                <w:szCs w:val="24"/>
                <w:lang w:bidi="ar"/>
              </w:rPr>
              <w:t xml:space="preserve">年 </w:t>
            </w:r>
            <w:r>
              <w:rPr>
                <w:rFonts w:hint="eastAsia" w:ascii="宋体" w:hAnsi="宋体" w:eastAsia="宋体" w:cs="宋体"/>
                <w:color w:val="auto"/>
                <w:kern w:val="0"/>
                <w:sz w:val="24"/>
                <w:szCs w:val="24"/>
                <w:lang w:val="en-US" w:eastAsia="zh-CN" w:bidi="ar"/>
              </w:rPr>
              <w:t>8</w:t>
            </w:r>
            <w:r>
              <w:rPr>
                <w:rFonts w:hint="eastAsia" w:ascii="宋体" w:hAnsi="宋体" w:eastAsia="宋体" w:cs="宋体"/>
                <w:color w:val="auto"/>
                <w:kern w:val="0"/>
                <w:sz w:val="24"/>
                <w:szCs w:val="24"/>
                <w:lang w:bidi="ar"/>
              </w:rPr>
              <w:t>月</w:t>
            </w:r>
            <w:r>
              <w:rPr>
                <w:rFonts w:hint="eastAsia" w:ascii="宋体" w:hAnsi="宋体" w:eastAsia="宋体" w:cs="宋体"/>
                <w:color w:val="auto"/>
                <w:kern w:val="0"/>
                <w:sz w:val="24"/>
                <w:szCs w:val="24"/>
                <w:lang w:val="en-US" w:eastAsia="zh-CN" w:bidi="ar"/>
              </w:rPr>
              <w:t>21</w:t>
            </w:r>
            <w:r>
              <w:rPr>
                <w:rFonts w:hint="eastAsia" w:ascii="宋体" w:hAnsi="宋体" w:eastAsia="宋体" w:cs="宋体"/>
                <w:color w:val="auto"/>
                <w:kern w:val="0"/>
                <w:sz w:val="24"/>
                <w:szCs w:val="24"/>
                <w:lang w:bidi="ar"/>
              </w:rPr>
              <w:t>日</w:t>
            </w:r>
            <w:r>
              <w:rPr>
                <w:rFonts w:ascii="宋体" w:hAnsi="宋体" w:eastAsia="宋体" w:cs="宋体"/>
                <w:color w:val="auto"/>
                <w:kern w:val="0"/>
                <w:sz w:val="24"/>
                <w:szCs w:val="24"/>
                <w:lang w:bidi="ar"/>
              </w:rPr>
              <w:t>8</w:t>
            </w:r>
            <w:r>
              <w:rPr>
                <w:rFonts w:hint="eastAsia" w:ascii="宋体" w:hAnsi="宋体" w:eastAsia="宋体" w:cs="宋体"/>
                <w:color w:val="auto"/>
                <w:kern w:val="0"/>
                <w:sz w:val="24"/>
                <w:szCs w:val="24"/>
                <w:lang w:bidi="ar"/>
              </w:rPr>
              <w:t>:</w:t>
            </w:r>
            <w:r>
              <w:rPr>
                <w:rFonts w:ascii="宋体" w:hAnsi="宋体" w:eastAsia="宋体" w:cs="宋体"/>
                <w:color w:val="auto"/>
                <w:kern w:val="0"/>
                <w:sz w:val="24"/>
                <w:szCs w:val="24"/>
                <w:lang w:bidi="ar"/>
              </w:rPr>
              <w:t>30至</w:t>
            </w:r>
            <w:r>
              <w:rPr>
                <w:rFonts w:hint="eastAsia" w:ascii="宋体" w:hAnsi="宋体" w:eastAsia="宋体" w:cs="宋体"/>
                <w:color w:val="auto"/>
                <w:kern w:val="0"/>
                <w:sz w:val="24"/>
                <w:szCs w:val="24"/>
                <w:lang w:bidi="ar"/>
              </w:rPr>
              <w:t xml:space="preserve"> </w:t>
            </w:r>
            <w:r>
              <w:rPr>
                <w:rFonts w:ascii="宋体" w:hAnsi="宋体" w:eastAsia="宋体" w:cs="宋体"/>
                <w:color w:val="auto"/>
                <w:kern w:val="0"/>
                <w:sz w:val="24"/>
                <w:szCs w:val="24"/>
                <w:lang w:bidi="ar"/>
              </w:rPr>
              <w:t>2020</w:t>
            </w:r>
            <w:r>
              <w:rPr>
                <w:rFonts w:hint="eastAsia" w:ascii="宋体" w:hAnsi="宋体" w:eastAsia="宋体" w:cs="宋体"/>
                <w:color w:val="auto"/>
                <w:kern w:val="0"/>
                <w:sz w:val="24"/>
                <w:szCs w:val="24"/>
                <w:lang w:bidi="ar"/>
              </w:rPr>
              <w:t xml:space="preserve"> 年</w:t>
            </w:r>
            <w:r>
              <w:rPr>
                <w:rFonts w:hint="eastAsia" w:ascii="宋体" w:hAnsi="宋体" w:eastAsia="宋体" w:cs="宋体"/>
                <w:color w:val="auto"/>
                <w:kern w:val="0"/>
                <w:sz w:val="24"/>
                <w:szCs w:val="24"/>
                <w:lang w:val="en-US" w:eastAsia="zh-CN" w:bidi="ar"/>
              </w:rPr>
              <w:t>8</w:t>
            </w:r>
            <w:r>
              <w:rPr>
                <w:rFonts w:hint="eastAsia" w:ascii="宋体" w:hAnsi="宋体" w:eastAsia="宋体" w:cs="宋体"/>
                <w:color w:val="auto"/>
                <w:kern w:val="0"/>
                <w:sz w:val="24"/>
                <w:szCs w:val="24"/>
                <w:lang w:bidi="ar"/>
              </w:rPr>
              <w:t>月</w:t>
            </w:r>
            <w:r>
              <w:rPr>
                <w:rFonts w:hint="eastAsia" w:ascii="宋体" w:hAnsi="宋体" w:eastAsia="宋体" w:cs="宋体"/>
                <w:color w:val="auto"/>
                <w:kern w:val="0"/>
                <w:sz w:val="24"/>
                <w:szCs w:val="24"/>
                <w:lang w:val="en-US" w:eastAsia="zh-CN" w:bidi="ar"/>
              </w:rPr>
              <w:t>27</w:t>
            </w:r>
            <w:r>
              <w:rPr>
                <w:rFonts w:hint="eastAsia" w:ascii="宋体" w:hAnsi="宋体" w:eastAsia="宋体" w:cs="宋体"/>
                <w:color w:val="auto"/>
                <w:kern w:val="0"/>
                <w:sz w:val="24"/>
                <w:szCs w:val="24"/>
                <w:lang w:bidi="ar"/>
              </w:rPr>
              <w:t>日1</w:t>
            </w:r>
            <w:r>
              <w:rPr>
                <w:rFonts w:ascii="宋体" w:hAnsi="宋体" w:eastAsia="宋体" w:cs="宋体"/>
                <w:color w:val="auto"/>
                <w:kern w:val="0"/>
                <w:sz w:val="24"/>
                <w:szCs w:val="24"/>
                <w:lang w:bidi="ar"/>
              </w:rPr>
              <w:t>7</w:t>
            </w:r>
            <w:r>
              <w:rPr>
                <w:rFonts w:hint="eastAsia" w:ascii="宋体" w:hAnsi="宋体" w:eastAsia="宋体" w:cs="宋体"/>
                <w:color w:val="auto"/>
                <w:kern w:val="0"/>
                <w:sz w:val="24"/>
                <w:szCs w:val="24"/>
                <w:lang w:bidi="ar"/>
              </w:rPr>
              <w:t>:</w:t>
            </w:r>
            <w:r>
              <w:rPr>
                <w:rFonts w:ascii="宋体" w:hAnsi="宋体" w:eastAsia="宋体" w:cs="宋体"/>
                <w:color w:val="auto"/>
                <w:kern w:val="0"/>
                <w:sz w:val="24"/>
                <w:szCs w:val="24"/>
                <w:lang w:bidi="ar"/>
              </w:rPr>
              <w:t>30。（</w:t>
            </w:r>
            <w:r>
              <w:rPr>
                <w:rFonts w:ascii="宋体" w:hAnsi="宋体" w:eastAsia="宋体" w:cs="宋体"/>
                <w:kern w:val="0"/>
                <w:sz w:val="24"/>
                <w:szCs w:val="24"/>
                <w:lang w:bidi="ar"/>
              </w:rPr>
              <w:t>北京时间，法定节假日除外。）</w:t>
            </w:r>
          </w:p>
        </w:tc>
      </w:tr>
      <w:tr>
        <w:tblPrEx>
          <w:tblCellMar>
            <w:top w:w="15" w:type="dxa"/>
            <w:left w:w="15" w:type="dxa"/>
            <w:bottom w:w="15" w:type="dxa"/>
            <w:right w:w="15" w:type="dxa"/>
          </w:tblCellMar>
        </w:tblPrEx>
        <w:trPr>
          <w:tblCellSpacing w:w="15" w:type="dxa"/>
        </w:trPr>
        <w:tc>
          <w:tcPr>
            <w:tcW w:w="8336" w:type="dxa"/>
            <w:shd w:val="clear" w:color="auto" w:fill="auto"/>
            <w:vAlign w:val="center"/>
          </w:tcPr>
          <w:p>
            <w:pPr>
              <w:widowControl/>
              <w:spacing w:line="360" w:lineRule="auto"/>
              <w:jc w:val="left"/>
              <w:rPr>
                <w:rFonts w:ascii="宋体" w:hAnsi="宋体" w:eastAsia="宋体" w:cs="宋体"/>
                <w:kern w:val="0"/>
                <w:sz w:val="24"/>
                <w:szCs w:val="24"/>
                <w:lang w:bidi="ar"/>
              </w:rPr>
            </w:pPr>
            <w:r>
              <w:rPr>
                <w:rFonts w:ascii="宋体" w:hAnsi="宋体" w:eastAsia="宋体" w:cs="宋体"/>
                <w:kern w:val="0"/>
                <w:sz w:val="24"/>
                <w:szCs w:val="24"/>
                <w:lang w:bidi="ar"/>
              </w:rPr>
              <w:t>2.地点：</w:t>
            </w:r>
            <w:r>
              <w:rPr>
                <w:rFonts w:hint="eastAsia" w:ascii="宋体" w:hAnsi="宋体" w:eastAsia="宋体" w:cs="宋体"/>
                <w:kern w:val="0"/>
                <w:sz w:val="24"/>
                <w:szCs w:val="24"/>
                <w:lang w:bidi="ar"/>
              </w:rPr>
              <w:t xml:space="preserve">郑州市公共资源交易中心网站 </w:t>
            </w:r>
          </w:p>
          <w:p>
            <w:pPr>
              <w:widowControl/>
              <w:spacing w:line="360" w:lineRule="auto"/>
              <w:ind w:firstLine="480" w:firstLineChars="200"/>
              <w:jc w:val="left"/>
            </w:pPr>
            <w:r>
              <w:rPr>
                <w:rFonts w:hint="eastAsia" w:ascii="宋体" w:hAnsi="宋体" w:eastAsia="宋体" w:cs="宋体"/>
                <w:kern w:val="0"/>
                <w:sz w:val="24"/>
                <w:szCs w:val="24"/>
                <w:lang w:bidi="ar"/>
              </w:rPr>
              <w:t>各潜在</w:t>
            </w:r>
            <w:r>
              <w:rPr>
                <w:rFonts w:hint="eastAsia" w:ascii="宋体" w:hAnsi="宋体" w:eastAsia="宋体" w:cs="宋体"/>
                <w:kern w:val="0"/>
                <w:sz w:val="24"/>
                <w:szCs w:val="24"/>
                <w:lang w:eastAsia="zh-CN" w:bidi="ar"/>
              </w:rPr>
              <w:t>响应人</w:t>
            </w:r>
            <w:r>
              <w:rPr>
                <w:rFonts w:hint="eastAsia" w:ascii="宋体" w:hAnsi="宋体" w:eastAsia="宋体" w:cs="宋体"/>
                <w:kern w:val="0"/>
                <w:sz w:val="24"/>
                <w:szCs w:val="24"/>
                <w:lang w:bidi="ar"/>
              </w:rPr>
              <w:t>请在规定时间内凭CA密钥登录郑州市公共资源交易中心网站（http://www.zzsggzy.com/），点击“交易主体登陆”进入电子招投标交易平台下载所含格式（*.ZZZF格式）的磋商文件及资料。</w:t>
            </w:r>
            <w:r>
              <w:rPr>
                <w:rFonts w:hint="eastAsia" w:ascii="宋体" w:hAnsi="宋体" w:eastAsia="宋体" w:cs="宋体"/>
                <w:kern w:val="0"/>
                <w:sz w:val="24"/>
                <w:szCs w:val="24"/>
                <w:lang w:eastAsia="zh-CN" w:bidi="ar"/>
              </w:rPr>
              <w:t>响应人</w:t>
            </w:r>
            <w:r>
              <w:rPr>
                <w:rFonts w:hint="eastAsia" w:ascii="宋体" w:hAnsi="宋体" w:eastAsia="宋体" w:cs="宋体"/>
                <w:kern w:val="0"/>
                <w:sz w:val="24"/>
                <w:szCs w:val="24"/>
                <w:lang w:bidi="ar"/>
              </w:rPr>
              <w:t xml:space="preserve">未按规定在网上下载磋商文件的，其响应文件将被拒绝。                                                           </w:t>
            </w:r>
          </w:p>
        </w:tc>
      </w:tr>
      <w:tr>
        <w:tblPrEx>
          <w:tblCellMar>
            <w:top w:w="15" w:type="dxa"/>
            <w:left w:w="15" w:type="dxa"/>
            <w:bottom w:w="15" w:type="dxa"/>
            <w:right w:w="15" w:type="dxa"/>
          </w:tblCellMar>
        </w:tblPrEx>
        <w:trPr>
          <w:tblCellSpacing w:w="15" w:type="dxa"/>
        </w:trPr>
        <w:tc>
          <w:tcPr>
            <w:tcW w:w="8336" w:type="dxa"/>
            <w:shd w:val="clear" w:color="auto" w:fill="auto"/>
            <w:vAlign w:val="center"/>
          </w:tcPr>
          <w:p>
            <w:pPr>
              <w:widowControl/>
              <w:spacing w:line="360" w:lineRule="auto"/>
              <w:jc w:val="left"/>
              <w:rPr>
                <w:rFonts w:ascii="宋体" w:hAnsi="宋体" w:eastAsia="宋体" w:cs="宋体"/>
                <w:kern w:val="0"/>
                <w:sz w:val="24"/>
                <w:szCs w:val="24"/>
                <w:lang w:bidi="ar"/>
              </w:rPr>
            </w:pPr>
            <w:r>
              <w:rPr>
                <w:rFonts w:ascii="宋体" w:hAnsi="宋体" w:eastAsia="宋体" w:cs="宋体"/>
                <w:kern w:val="0"/>
                <w:sz w:val="24"/>
                <w:szCs w:val="24"/>
                <w:lang w:bidi="ar"/>
              </w:rPr>
              <w:t>3.方式：</w:t>
            </w:r>
            <w:r>
              <w:rPr>
                <w:rFonts w:hint="eastAsia" w:ascii="宋体" w:hAnsi="宋体" w:eastAsia="宋体" w:cs="宋体"/>
                <w:kern w:val="0"/>
                <w:sz w:val="24"/>
                <w:szCs w:val="24"/>
                <w:lang w:bidi="ar"/>
              </w:rPr>
              <w:t xml:space="preserve">网上获取   </w:t>
            </w:r>
          </w:p>
          <w:p>
            <w:pPr>
              <w:widowControl/>
              <w:spacing w:line="360" w:lineRule="auto"/>
              <w:ind w:firstLine="480" w:firstLineChars="200"/>
              <w:jc w:val="left"/>
            </w:pPr>
            <w:r>
              <w:rPr>
                <w:rFonts w:hint="eastAsia" w:ascii="宋体" w:hAnsi="宋体" w:eastAsia="宋体" w:cs="宋体"/>
                <w:kern w:val="0"/>
                <w:sz w:val="24"/>
                <w:szCs w:val="24"/>
                <w:lang w:bidi="ar"/>
              </w:rPr>
              <w:t>按照郑州市公共资源交易中心要求，</w:t>
            </w:r>
            <w:r>
              <w:rPr>
                <w:rFonts w:hint="eastAsia" w:ascii="宋体" w:hAnsi="宋体" w:eastAsia="宋体" w:cs="宋体"/>
                <w:kern w:val="0"/>
                <w:sz w:val="24"/>
                <w:szCs w:val="24"/>
                <w:lang w:eastAsia="zh-CN" w:bidi="ar"/>
              </w:rPr>
              <w:t>响应人</w:t>
            </w:r>
            <w:r>
              <w:rPr>
                <w:rFonts w:hint="eastAsia" w:ascii="宋体" w:hAnsi="宋体" w:eastAsia="宋体" w:cs="宋体"/>
                <w:kern w:val="0"/>
                <w:sz w:val="24"/>
                <w:szCs w:val="24"/>
                <w:lang w:bidi="ar"/>
              </w:rPr>
              <w:t xml:space="preserve">须注册成为郑州市公共资源交易中心网站会员并取得CA密钥后，才能通过公共资源交易平台参与交易活动，尚未办理企业CA锁的，河南省信息化发展有限公司开通了CA数字证书在线办理功能，郑州市公共资源交易中心各交易主体如需办理CA数字证书业务的，可通过以下链接：（http://xaca.hnxaca.com:8081/online/ggzyApply/index.shtml）在线办理。客服电话0371-96596，技术咨询电话:0371-67188807,4009980000                                                          </w:t>
            </w:r>
          </w:p>
        </w:tc>
      </w:tr>
      <w:tr>
        <w:tblPrEx>
          <w:tblCellMar>
            <w:top w:w="15" w:type="dxa"/>
            <w:left w:w="15" w:type="dxa"/>
            <w:bottom w:w="15" w:type="dxa"/>
            <w:right w:w="15" w:type="dxa"/>
          </w:tblCellMar>
        </w:tblPrEx>
        <w:trPr>
          <w:tblCellSpacing w:w="15" w:type="dxa"/>
        </w:trPr>
        <w:tc>
          <w:tcPr>
            <w:tcW w:w="8336" w:type="dxa"/>
            <w:shd w:val="clear" w:color="auto" w:fill="auto"/>
            <w:vAlign w:val="center"/>
          </w:tcPr>
          <w:p>
            <w:pPr>
              <w:widowControl/>
              <w:spacing w:line="360" w:lineRule="auto"/>
              <w:jc w:val="left"/>
            </w:pPr>
            <w:r>
              <w:rPr>
                <w:rFonts w:ascii="宋体" w:hAnsi="宋体" w:eastAsia="宋体" w:cs="宋体"/>
                <w:kern w:val="0"/>
                <w:sz w:val="24"/>
                <w:szCs w:val="24"/>
                <w:lang w:bidi="ar"/>
              </w:rPr>
              <w:t>4.售价：0元</w:t>
            </w:r>
          </w:p>
        </w:tc>
      </w:tr>
      <w:tr>
        <w:tblPrEx>
          <w:tblCellMar>
            <w:top w:w="15" w:type="dxa"/>
            <w:left w:w="15" w:type="dxa"/>
            <w:bottom w:w="15" w:type="dxa"/>
            <w:right w:w="15" w:type="dxa"/>
          </w:tblCellMar>
        </w:tblPrEx>
        <w:trPr>
          <w:tblCellSpacing w:w="15" w:type="dxa"/>
        </w:trPr>
        <w:tc>
          <w:tcPr>
            <w:tcW w:w="8336" w:type="dxa"/>
            <w:shd w:val="clear" w:color="auto" w:fill="auto"/>
            <w:vAlign w:val="center"/>
          </w:tcPr>
          <w:p>
            <w:pPr>
              <w:widowControl/>
              <w:spacing w:line="360" w:lineRule="auto"/>
              <w:jc w:val="left"/>
            </w:pPr>
            <w:r>
              <w:rPr>
                <w:rFonts w:ascii="宋体" w:hAnsi="宋体" w:eastAsia="宋体" w:cs="宋体"/>
                <w:kern w:val="0"/>
                <w:sz w:val="24"/>
                <w:szCs w:val="24"/>
                <w:lang w:bidi="ar"/>
              </w:rPr>
              <w:t>四、投标截止时间及地点</w:t>
            </w:r>
          </w:p>
        </w:tc>
      </w:tr>
      <w:tr>
        <w:tblPrEx>
          <w:tblCellMar>
            <w:top w:w="15" w:type="dxa"/>
            <w:left w:w="15" w:type="dxa"/>
            <w:bottom w:w="15" w:type="dxa"/>
            <w:right w:w="15" w:type="dxa"/>
          </w:tblCellMar>
        </w:tblPrEx>
        <w:trPr>
          <w:tblCellSpacing w:w="15" w:type="dxa"/>
        </w:trPr>
        <w:tc>
          <w:tcPr>
            <w:tcW w:w="8336" w:type="dxa"/>
            <w:shd w:val="clear" w:color="auto" w:fill="auto"/>
            <w:vAlign w:val="center"/>
          </w:tcPr>
          <w:p>
            <w:pPr>
              <w:widowControl/>
              <w:spacing w:line="360" w:lineRule="auto"/>
              <w:jc w:val="left"/>
              <w:rPr>
                <w:color w:val="auto"/>
              </w:rPr>
            </w:pPr>
            <w:r>
              <w:rPr>
                <w:rFonts w:ascii="宋体" w:hAnsi="宋体" w:eastAsia="宋体" w:cs="宋体"/>
                <w:color w:val="auto"/>
                <w:kern w:val="0"/>
                <w:sz w:val="24"/>
                <w:szCs w:val="24"/>
                <w:lang w:bidi="ar"/>
              </w:rPr>
              <w:t>1.时间：</w:t>
            </w:r>
            <w:r>
              <w:rPr>
                <w:rFonts w:hint="eastAsia" w:ascii="宋体" w:hAnsi="宋体" w:eastAsia="宋体" w:cs="宋体"/>
                <w:color w:val="auto"/>
                <w:kern w:val="0"/>
                <w:sz w:val="24"/>
                <w:szCs w:val="24"/>
                <w:lang w:bidi="ar"/>
              </w:rPr>
              <w:t>2020年</w:t>
            </w:r>
            <w:r>
              <w:rPr>
                <w:rFonts w:hint="eastAsia" w:ascii="宋体" w:hAnsi="宋体" w:eastAsia="宋体" w:cs="宋体"/>
                <w:color w:val="auto"/>
                <w:kern w:val="0"/>
                <w:sz w:val="24"/>
                <w:szCs w:val="24"/>
                <w:lang w:val="en-US" w:eastAsia="zh-CN" w:bidi="ar"/>
              </w:rPr>
              <w:t>9</w:t>
            </w:r>
            <w:r>
              <w:rPr>
                <w:rFonts w:hint="eastAsia" w:ascii="宋体" w:hAnsi="宋体" w:eastAsia="宋体" w:cs="宋体"/>
                <w:color w:val="auto"/>
                <w:kern w:val="0"/>
                <w:sz w:val="24"/>
                <w:szCs w:val="24"/>
                <w:lang w:bidi="ar"/>
              </w:rPr>
              <w:t>月</w:t>
            </w:r>
            <w:r>
              <w:rPr>
                <w:rFonts w:hint="eastAsia" w:ascii="宋体" w:hAnsi="宋体" w:eastAsia="宋体" w:cs="宋体"/>
                <w:color w:val="auto"/>
                <w:kern w:val="0"/>
                <w:sz w:val="24"/>
                <w:szCs w:val="24"/>
                <w:lang w:val="en-US" w:eastAsia="zh-CN" w:bidi="ar"/>
              </w:rPr>
              <w:t>7</w:t>
            </w:r>
            <w:r>
              <w:rPr>
                <w:rFonts w:hint="eastAsia" w:ascii="宋体" w:hAnsi="宋体" w:eastAsia="宋体" w:cs="宋体"/>
                <w:color w:val="auto"/>
                <w:kern w:val="0"/>
                <w:sz w:val="24"/>
                <w:szCs w:val="24"/>
                <w:lang w:bidi="ar"/>
              </w:rPr>
              <w:t>日</w:t>
            </w:r>
            <w:r>
              <w:rPr>
                <w:rFonts w:hint="eastAsia" w:ascii="宋体" w:hAnsi="宋体" w:eastAsia="宋体" w:cs="宋体"/>
                <w:color w:val="auto"/>
                <w:kern w:val="0"/>
                <w:sz w:val="24"/>
                <w:szCs w:val="24"/>
                <w:lang w:val="en-US" w:eastAsia="zh-CN" w:bidi="ar"/>
              </w:rPr>
              <w:t>10</w:t>
            </w:r>
            <w:r>
              <w:rPr>
                <w:rFonts w:hint="eastAsia" w:ascii="宋体" w:hAnsi="宋体" w:eastAsia="宋体" w:cs="宋体"/>
                <w:color w:val="auto"/>
                <w:kern w:val="0"/>
                <w:sz w:val="24"/>
                <w:szCs w:val="24"/>
                <w:lang w:bidi="ar"/>
              </w:rPr>
              <w:t>时00分</w:t>
            </w:r>
            <w:r>
              <w:rPr>
                <w:rFonts w:ascii="宋体" w:hAnsi="宋体" w:eastAsia="宋体" w:cs="宋体"/>
                <w:color w:val="auto"/>
                <w:kern w:val="0"/>
                <w:sz w:val="24"/>
                <w:szCs w:val="24"/>
                <w:lang w:bidi="ar"/>
              </w:rPr>
              <w:t>（北京时间）</w:t>
            </w:r>
          </w:p>
        </w:tc>
      </w:tr>
      <w:tr>
        <w:tblPrEx>
          <w:tblCellMar>
            <w:top w:w="15" w:type="dxa"/>
            <w:left w:w="15" w:type="dxa"/>
            <w:bottom w:w="15" w:type="dxa"/>
            <w:right w:w="15" w:type="dxa"/>
          </w:tblCellMar>
        </w:tblPrEx>
        <w:trPr>
          <w:tblCellSpacing w:w="15" w:type="dxa"/>
        </w:trPr>
        <w:tc>
          <w:tcPr>
            <w:tcW w:w="8336" w:type="dxa"/>
            <w:shd w:val="clear" w:color="auto" w:fill="auto"/>
            <w:vAlign w:val="center"/>
          </w:tcPr>
          <w:p>
            <w:pPr>
              <w:widowControl/>
              <w:spacing w:line="360" w:lineRule="auto"/>
              <w:jc w:val="left"/>
              <w:rPr>
                <w:color w:val="auto"/>
              </w:rPr>
            </w:pPr>
            <w:r>
              <w:rPr>
                <w:rFonts w:ascii="宋体" w:hAnsi="宋体" w:eastAsia="宋体" w:cs="宋体"/>
                <w:color w:val="auto"/>
                <w:kern w:val="0"/>
                <w:sz w:val="24"/>
                <w:szCs w:val="24"/>
                <w:lang w:bidi="ar"/>
              </w:rPr>
              <w:t>2.地点：</w:t>
            </w:r>
            <w:r>
              <w:rPr>
                <w:rFonts w:hint="eastAsia" w:ascii="宋体" w:hAnsi="宋体" w:eastAsia="宋体" w:cs="宋体"/>
                <w:color w:val="auto"/>
                <w:kern w:val="0"/>
                <w:sz w:val="24"/>
                <w:szCs w:val="24"/>
                <w:lang w:bidi="ar"/>
              </w:rPr>
              <w:t xml:space="preserve">加密电子响应文件须在投标截止时间前通过“郑州市公共资源交易中心（www.hnggzy.com）”电子交易平台中递交/上传，加密电子响应文件逾期或未按规定递交/上传的，采购人不予受理。                                                              </w:t>
            </w:r>
          </w:p>
        </w:tc>
      </w:tr>
      <w:tr>
        <w:tblPrEx>
          <w:tblCellMar>
            <w:top w:w="15" w:type="dxa"/>
            <w:left w:w="15" w:type="dxa"/>
            <w:bottom w:w="15" w:type="dxa"/>
            <w:right w:w="15" w:type="dxa"/>
          </w:tblCellMar>
        </w:tblPrEx>
        <w:trPr>
          <w:tblCellSpacing w:w="15" w:type="dxa"/>
        </w:trPr>
        <w:tc>
          <w:tcPr>
            <w:tcW w:w="8336" w:type="dxa"/>
            <w:shd w:val="clear" w:color="auto" w:fill="auto"/>
            <w:vAlign w:val="center"/>
          </w:tcPr>
          <w:p>
            <w:pPr>
              <w:widowControl/>
              <w:spacing w:line="360" w:lineRule="auto"/>
              <w:jc w:val="left"/>
              <w:rPr>
                <w:color w:val="auto"/>
              </w:rPr>
            </w:pPr>
            <w:r>
              <w:rPr>
                <w:rFonts w:ascii="宋体" w:hAnsi="宋体" w:eastAsia="宋体" w:cs="宋体"/>
                <w:color w:val="auto"/>
                <w:kern w:val="0"/>
                <w:sz w:val="24"/>
                <w:szCs w:val="24"/>
                <w:lang w:bidi="ar"/>
              </w:rPr>
              <w:t>五、开标时间及地点</w:t>
            </w:r>
          </w:p>
        </w:tc>
      </w:tr>
      <w:tr>
        <w:tblPrEx>
          <w:tblCellMar>
            <w:top w:w="15" w:type="dxa"/>
            <w:left w:w="15" w:type="dxa"/>
            <w:bottom w:w="15" w:type="dxa"/>
            <w:right w:w="15" w:type="dxa"/>
          </w:tblCellMar>
        </w:tblPrEx>
        <w:trPr>
          <w:tblCellSpacing w:w="15" w:type="dxa"/>
        </w:trPr>
        <w:tc>
          <w:tcPr>
            <w:tcW w:w="8336" w:type="dxa"/>
            <w:shd w:val="clear" w:color="auto" w:fill="auto"/>
            <w:vAlign w:val="center"/>
          </w:tcPr>
          <w:p>
            <w:pPr>
              <w:widowControl/>
              <w:spacing w:line="360" w:lineRule="auto"/>
              <w:jc w:val="left"/>
              <w:rPr>
                <w:color w:val="auto"/>
              </w:rPr>
            </w:pPr>
            <w:r>
              <w:rPr>
                <w:rFonts w:ascii="宋体" w:hAnsi="宋体" w:eastAsia="宋体" w:cs="宋体"/>
                <w:color w:val="auto"/>
                <w:kern w:val="0"/>
                <w:sz w:val="24"/>
                <w:szCs w:val="24"/>
                <w:lang w:bidi="ar"/>
              </w:rPr>
              <w:t>1.时间：</w:t>
            </w:r>
            <w:r>
              <w:rPr>
                <w:rFonts w:hint="eastAsia" w:ascii="宋体" w:hAnsi="宋体" w:eastAsia="宋体" w:cs="宋体"/>
                <w:color w:val="auto"/>
                <w:kern w:val="0"/>
                <w:sz w:val="24"/>
                <w:szCs w:val="24"/>
                <w:lang w:bidi="ar"/>
              </w:rPr>
              <w:t>2020年</w:t>
            </w:r>
            <w:r>
              <w:rPr>
                <w:rFonts w:hint="eastAsia" w:ascii="宋体" w:hAnsi="宋体" w:eastAsia="宋体" w:cs="宋体"/>
                <w:color w:val="auto"/>
                <w:kern w:val="0"/>
                <w:sz w:val="24"/>
                <w:szCs w:val="24"/>
                <w:lang w:val="en-US" w:eastAsia="zh-CN" w:bidi="ar"/>
              </w:rPr>
              <w:t>9</w:t>
            </w:r>
            <w:r>
              <w:rPr>
                <w:rFonts w:hint="eastAsia" w:ascii="宋体" w:hAnsi="宋体" w:eastAsia="宋体" w:cs="宋体"/>
                <w:color w:val="auto"/>
                <w:kern w:val="0"/>
                <w:sz w:val="24"/>
                <w:szCs w:val="24"/>
                <w:lang w:bidi="ar"/>
              </w:rPr>
              <w:t>月</w:t>
            </w:r>
            <w:r>
              <w:rPr>
                <w:rFonts w:hint="eastAsia" w:ascii="宋体" w:hAnsi="宋体" w:eastAsia="宋体" w:cs="宋体"/>
                <w:color w:val="auto"/>
                <w:kern w:val="0"/>
                <w:sz w:val="24"/>
                <w:szCs w:val="24"/>
                <w:lang w:val="en-US" w:eastAsia="zh-CN" w:bidi="ar"/>
              </w:rPr>
              <w:t>7</w:t>
            </w:r>
            <w:r>
              <w:rPr>
                <w:rFonts w:hint="eastAsia" w:ascii="宋体" w:hAnsi="宋体" w:eastAsia="宋体" w:cs="宋体"/>
                <w:color w:val="auto"/>
                <w:kern w:val="0"/>
                <w:sz w:val="24"/>
                <w:szCs w:val="24"/>
                <w:lang w:bidi="ar"/>
              </w:rPr>
              <w:t>日</w:t>
            </w:r>
            <w:r>
              <w:rPr>
                <w:rFonts w:hint="eastAsia" w:ascii="宋体" w:hAnsi="宋体" w:eastAsia="宋体" w:cs="宋体"/>
                <w:color w:val="auto"/>
                <w:kern w:val="0"/>
                <w:sz w:val="24"/>
                <w:szCs w:val="24"/>
                <w:lang w:val="en-US" w:eastAsia="zh-CN" w:bidi="ar"/>
              </w:rPr>
              <w:t>10</w:t>
            </w:r>
            <w:r>
              <w:rPr>
                <w:rFonts w:hint="eastAsia" w:ascii="宋体" w:hAnsi="宋体" w:eastAsia="宋体" w:cs="宋体"/>
                <w:color w:val="auto"/>
                <w:kern w:val="0"/>
                <w:sz w:val="24"/>
                <w:szCs w:val="24"/>
                <w:lang w:bidi="ar"/>
              </w:rPr>
              <w:t xml:space="preserve">时00分 </w:t>
            </w:r>
            <w:r>
              <w:rPr>
                <w:rFonts w:ascii="宋体" w:hAnsi="宋体" w:eastAsia="宋体" w:cs="宋体"/>
                <w:color w:val="auto"/>
                <w:kern w:val="0"/>
                <w:sz w:val="24"/>
                <w:szCs w:val="24"/>
                <w:lang w:bidi="ar"/>
              </w:rPr>
              <w:t>（北京时间）</w:t>
            </w:r>
          </w:p>
        </w:tc>
      </w:tr>
      <w:tr>
        <w:tblPrEx>
          <w:tblCellMar>
            <w:top w:w="15" w:type="dxa"/>
            <w:left w:w="15" w:type="dxa"/>
            <w:bottom w:w="15" w:type="dxa"/>
            <w:right w:w="15" w:type="dxa"/>
          </w:tblCellMar>
        </w:tblPrEx>
        <w:trPr>
          <w:tblCellSpacing w:w="15" w:type="dxa"/>
        </w:trPr>
        <w:tc>
          <w:tcPr>
            <w:tcW w:w="8336" w:type="dxa"/>
            <w:shd w:val="clear" w:color="auto" w:fill="auto"/>
            <w:vAlign w:val="center"/>
          </w:tcPr>
          <w:p>
            <w:pPr>
              <w:widowControl/>
              <w:spacing w:line="360" w:lineRule="auto"/>
              <w:jc w:val="left"/>
              <w:rPr>
                <w:color w:val="auto"/>
              </w:rPr>
            </w:pPr>
            <w:r>
              <w:rPr>
                <w:rFonts w:ascii="宋体" w:hAnsi="宋体" w:eastAsia="宋体" w:cs="宋体"/>
                <w:color w:val="auto"/>
                <w:kern w:val="0"/>
                <w:sz w:val="24"/>
                <w:szCs w:val="24"/>
                <w:lang w:bidi="ar"/>
              </w:rPr>
              <w:t>2.地点：</w:t>
            </w:r>
            <w:r>
              <w:rPr>
                <w:rFonts w:hint="eastAsia" w:ascii="宋体" w:hAnsi="宋体" w:eastAsia="宋体" w:cs="宋体"/>
                <w:color w:val="auto"/>
                <w:kern w:val="0"/>
                <w:sz w:val="24"/>
                <w:szCs w:val="24"/>
                <w:lang w:bidi="ar"/>
              </w:rPr>
              <w:t>郑州市公共资源交易中心六楼</w:t>
            </w:r>
            <w:r>
              <w:rPr>
                <w:rFonts w:hint="eastAsia" w:ascii="宋体" w:hAnsi="宋体" w:eastAsia="宋体" w:cs="宋体"/>
                <w:color w:val="auto"/>
                <w:kern w:val="0"/>
                <w:sz w:val="24"/>
                <w:szCs w:val="24"/>
                <w:lang w:val="en-US" w:eastAsia="zh-CN" w:bidi="ar"/>
              </w:rPr>
              <w:t>B</w:t>
            </w:r>
            <w:r>
              <w:rPr>
                <w:rFonts w:hint="eastAsia" w:ascii="宋体" w:hAnsi="宋体" w:eastAsia="宋体" w:cs="宋体"/>
                <w:color w:val="auto"/>
                <w:kern w:val="0"/>
                <w:sz w:val="24"/>
                <w:szCs w:val="24"/>
                <w:lang w:bidi="ar"/>
              </w:rPr>
              <w:t>区第</w:t>
            </w:r>
            <w:r>
              <w:rPr>
                <w:rFonts w:hint="eastAsia" w:ascii="宋体" w:hAnsi="宋体" w:eastAsia="宋体" w:cs="宋体"/>
                <w:color w:val="auto"/>
                <w:kern w:val="0"/>
                <w:sz w:val="24"/>
                <w:szCs w:val="24"/>
                <w:lang w:val="en-US" w:eastAsia="zh-CN" w:bidi="ar"/>
              </w:rPr>
              <w:t>十七</w:t>
            </w:r>
            <w:r>
              <w:rPr>
                <w:rFonts w:hint="eastAsia" w:ascii="宋体" w:hAnsi="宋体" w:eastAsia="宋体" w:cs="宋体"/>
                <w:color w:val="auto"/>
                <w:kern w:val="0"/>
                <w:sz w:val="24"/>
                <w:szCs w:val="24"/>
                <w:lang w:bidi="ar"/>
              </w:rPr>
              <w:t xml:space="preserve">开标室（郑州市中原西路与图强路交叉口郑发大厦）                                                             </w:t>
            </w:r>
          </w:p>
        </w:tc>
      </w:tr>
      <w:tr>
        <w:tblPrEx>
          <w:tblCellMar>
            <w:top w:w="15" w:type="dxa"/>
            <w:left w:w="15" w:type="dxa"/>
            <w:bottom w:w="15" w:type="dxa"/>
            <w:right w:w="15" w:type="dxa"/>
          </w:tblCellMar>
        </w:tblPrEx>
        <w:trPr>
          <w:tblCellSpacing w:w="15" w:type="dxa"/>
        </w:trPr>
        <w:tc>
          <w:tcPr>
            <w:tcW w:w="8336" w:type="dxa"/>
            <w:shd w:val="clear" w:color="auto" w:fill="auto"/>
            <w:vAlign w:val="center"/>
          </w:tcPr>
          <w:p>
            <w:pPr>
              <w:widowControl/>
              <w:spacing w:line="360" w:lineRule="auto"/>
              <w:jc w:val="left"/>
            </w:pPr>
            <w:r>
              <w:rPr>
                <w:rFonts w:ascii="宋体" w:hAnsi="宋体" w:eastAsia="宋体" w:cs="宋体"/>
                <w:kern w:val="0"/>
                <w:sz w:val="24"/>
                <w:szCs w:val="24"/>
                <w:lang w:bidi="ar"/>
              </w:rPr>
              <w:t>六、发布公告的媒介及招标公告期限</w:t>
            </w:r>
          </w:p>
        </w:tc>
      </w:tr>
      <w:tr>
        <w:tblPrEx>
          <w:tblCellMar>
            <w:top w:w="15" w:type="dxa"/>
            <w:left w:w="15" w:type="dxa"/>
            <w:bottom w:w="15" w:type="dxa"/>
            <w:right w:w="15" w:type="dxa"/>
          </w:tblCellMar>
        </w:tblPrEx>
        <w:trPr>
          <w:tblCellSpacing w:w="15" w:type="dxa"/>
        </w:trPr>
        <w:tc>
          <w:tcPr>
            <w:tcW w:w="8336" w:type="dxa"/>
            <w:shd w:val="clear" w:color="auto" w:fill="auto"/>
            <w:vAlign w:val="center"/>
          </w:tcPr>
          <w:p>
            <w:pPr>
              <w:widowControl/>
              <w:spacing w:line="360" w:lineRule="auto"/>
              <w:ind w:firstLine="480" w:firstLineChars="200"/>
              <w:jc w:val="left"/>
            </w:pPr>
            <w:r>
              <w:rPr>
                <w:rFonts w:hint="eastAsia" w:ascii="宋体" w:hAnsi="宋体" w:eastAsia="宋体" w:cs="宋体"/>
                <w:kern w:val="0"/>
                <w:sz w:val="24"/>
                <w:szCs w:val="24"/>
                <w:lang w:bidi="ar"/>
              </w:rPr>
              <w:t>本次招标公告在《中国政府采购网》、《河南省政府采购网》、《郑州市政府采购网》、《郑州市公共资源交易中心网》上发布。 招标公告期限为五个工作日，</w:t>
            </w:r>
            <w:r>
              <w:rPr>
                <w:rFonts w:hint="eastAsia" w:ascii="宋体" w:hAnsi="宋体" w:eastAsia="宋体" w:cs="宋体"/>
                <w:color w:val="auto"/>
                <w:kern w:val="0"/>
                <w:sz w:val="24"/>
                <w:szCs w:val="24"/>
                <w:lang w:bidi="ar"/>
              </w:rPr>
              <w:t>2020年</w:t>
            </w:r>
            <w:r>
              <w:rPr>
                <w:rFonts w:hint="eastAsia" w:ascii="宋体" w:hAnsi="宋体" w:eastAsia="宋体" w:cs="宋体"/>
                <w:color w:val="auto"/>
                <w:kern w:val="0"/>
                <w:sz w:val="24"/>
                <w:szCs w:val="24"/>
                <w:lang w:val="en-US" w:eastAsia="zh-CN" w:bidi="ar"/>
              </w:rPr>
              <w:t>8</w:t>
            </w:r>
            <w:r>
              <w:rPr>
                <w:rFonts w:hint="eastAsia" w:ascii="宋体" w:hAnsi="宋体" w:eastAsia="宋体" w:cs="宋体"/>
                <w:color w:val="auto"/>
                <w:kern w:val="0"/>
                <w:sz w:val="24"/>
                <w:szCs w:val="24"/>
                <w:lang w:bidi="ar"/>
              </w:rPr>
              <w:t>月</w:t>
            </w:r>
            <w:r>
              <w:rPr>
                <w:rFonts w:hint="eastAsia" w:ascii="宋体" w:hAnsi="宋体" w:eastAsia="宋体" w:cs="宋体"/>
                <w:color w:val="auto"/>
                <w:kern w:val="0"/>
                <w:sz w:val="24"/>
                <w:szCs w:val="24"/>
                <w:lang w:val="en-US" w:eastAsia="zh-CN" w:bidi="ar"/>
              </w:rPr>
              <w:t>21</w:t>
            </w:r>
            <w:r>
              <w:rPr>
                <w:rFonts w:hint="eastAsia" w:ascii="宋体" w:hAnsi="宋体" w:eastAsia="宋体" w:cs="宋体"/>
                <w:color w:val="auto"/>
                <w:kern w:val="0"/>
                <w:sz w:val="24"/>
                <w:szCs w:val="24"/>
                <w:lang w:bidi="ar"/>
              </w:rPr>
              <w:t>日至2020年</w:t>
            </w:r>
            <w:r>
              <w:rPr>
                <w:rFonts w:hint="eastAsia" w:ascii="宋体" w:hAnsi="宋体" w:eastAsia="宋体" w:cs="宋体"/>
                <w:color w:val="auto"/>
                <w:kern w:val="0"/>
                <w:sz w:val="24"/>
                <w:szCs w:val="24"/>
                <w:lang w:val="en-US" w:eastAsia="zh-CN" w:bidi="ar"/>
              </w:rPr>
              <w:t>8</w:t>
            </w:r>
            <w:r>
              <w:rPr>
                <w:rFonts w:hint="eastAsia" w:ascii="宋体" w:hAnsi="宋体" w:eastAsia="宋体" w:cs="宋体"/>
                <w:color w:val="auto"/>
                <w:kern w:val="0"/>
                <w:sz w:val="24"/>
                <w:szCs w:val="24"/>
                <w:lang w:bidi="ar"/>
              </w:rPr>
              <w:t>月</w:t>
            </w:r>
            <w:r>
              <w:rPr>
                <w:rFonts w:hint="eastAsia" w:ascii="宋体" w:hAnsi="宋体" w:eastAsia="宋体" w:cs="宋体"/>
                <w:color w:val="auto"/>
                <w:kern w:val="0"/>
                <w:sz w:val="24"/>
                <w:szCs w:val="24"/>
                <w:lang w:val="en-US" w:eastAsia="zh-CN" w:bidi="ar"/>
              </w:rPr>
              <w:t>27</w:t>
            </w:r>
            <w:r>
              <w:rPr>
                <w:rFonts w:hint="eastAsia" w:ascii="宋体" w:hAnsi="宋体" w:eastAsia="宋体" w:cs="宋体"/>
                <w:color w:val="auto"/>
                <w:kern w:val="0"/>
                <w:sz w:val="24"/>
                <w:szCs w:val="24"/>
                <w:lang w:bidi="ar"/>
              </w:rPr>
              <w:t>日</w:t>
            </w:r>
            <w:r>
              <w:rPr>
                <w:rFonts w:hint="eastAsia" w:ascii="宋体" w:hAnsi="宋体" w:eastAsia="宋体" w:cs="宋体"/>
                <w:kern w:val="0"/>
                <w:sz w:val="24"/>
                <w:szCs w:val="24"/>
                <w:lang w:bidi="ar"/>
              </w:rPr>
              <w:t>。</w:t>
            </w:r>
          </w:p>
        </w:tc>
      </w:tr>
      <w:tr>
        <w:tblPrEx>
          <w:tblCellMar>
            <w:top w:w="15" w:type="dxa"/>
            <w:left w:w="15" w:type="dxa"/>
            <w:bottom w:w="15" w:type="dxa"/>
            <w:right w:w="15" w:type="dxa"/>
          </w:tblCellMar>
        </w:tblPrEx>
        <w:trPr>
          <w:tblCellSpacing w:w="15" w:type="dxa"/>
        </w:trPr>
        <w:tc>
          <w:tcPr>
            <w:tcW w:w="8336" w:type="dxa"/>
            <w:shd w:val="clear" w:color="auto" w:fill="auto"/>
            <w:vAlign w:val="center"/>
          </w:tcPr>
          <w:p>
            <w:pPr>
              <w:widowControl/>
              <w:jc w:val="left"/>
            </w:pPr>
            <w:r>
              <w:rPr>
                <w:rFonts w:ascii="宋体" w:hAnsi="宋体" w:eastAsia="宋体" w:cs="宋体"/>
                <w:kern w:val="0"/>
                <w:sz w:val="24"/>
                <w:szCs w:val="24"/>
                <w:lang w:bidi="ar"/>
              </w:rPr>
              <w:t>七、其他补充事宜</w:t>
            </w:r>
          </w:p>
        </w:tc>
      </w:tr>
      <w:tr>
        <w:tblPrEx>
          <w:tblCellMar>
            <w:top w:w="15" w:type="dxa"/>
            <w:left w:w="15" w:type="dxa"/>
            <w:bottom w:w="15" w:type="dxa"/>
            <w:right w:w="15" w:type="dxa"/>
          </w:tblCellMar>
        </w:tblPrEx>
        <w:trPr>
          <w:tblCellSpacing w:w="15" w:type="dxa"/>
        </w:trPr>
        <w:tc>
          <w:tcPr>
            <w:tcW w:w="8336" w:type="dxa"/>
            <w:shd w:val="clear" w:color="auto" w:fill="auto"/>
            <w:vAlign w:val="center"/>
          </w:tcPr>
          <w:p>
            <w:pPr>
              <w:widowControl/>
              <w:spacing w:line="480" w:lineRule="auto"/>
              <w:jc w:val="left"/>
              <w:rPr>
                <w:rFonts w:asciiTheme="minorEastAsia" w:hAnsiTheme="minorEastAsia"/>
              </w:rPr>
            </w:pPr>
            <w:r>
              <w:rPr>
                <w:rFonts w:hint="eastAsia" w:asciiTheme="minorEastAsia" w:hAnsiTheme="minorEastAsia"/>
                <w:sz w:val="24"/>
                <w:szCs w:val="28"/>
              </w:rPr>
              <w:t xml:space="preserve"> </w:t>
            </w:r>
            <w:r>
              <w:rPr>
                <w:rFonts w:hint="eastAsia" w:asciiTheme="minorEastAsia" w:hAnsiTheme="minorEastAsia"/>
                <w:sz w:val="24"/>
                <w:szCs w:val="28"/>
                <w:shd w:val="clear" w:color="auto" w:fill="FFFFFF"/>
              </w:rPr>
              <w:t>本项目需要落实的政府采购政策：促进中小企业发展、支持监狱企业发展、促进残疾人就业等。</w:t>
            </w:r>
          </w:p>
        </w:tc>
      </w:tr>
      <w:tr>
        <w:tblPrEx>
          <w:tblCellMar>
            <w:top w:w="15" w:type="dxa"/>
            <w:left w:w="15" w:type="dxa"/>
            <w:bottom w:w="15" w:type="dxa"/>
            <w:right w:w="15" w:type="dxa"/>
          </w:tblCellMar>
        </w:tblPrEx>
        <w:trPr>
          <w:tblCellSpacing w:w="15" w:type="dxa"/>
        </w:trPr>
        <w:tc>
          <w:tcPr>
            <w:tcW w:w="8336" w:type="dxa"/>
            <w:shd w:val="clear" w:color="auto" w:fill="auto"/>
            <w:vAlign w:val="center"/>
          </w:tcPr>
          <w:p>
            <w:pPr>
              <w:widowControl/>
              <w:spacing w:line="360" w:lineRule="auto"/>
              <w:jc w:val="left"/>
            </w:pPr>
            <w:r>
              <w:rPr>
                <w:rFonts w:ascii="宋体" w:hAnsi="宋体" w:eastAsia="宋体" w:cs="宋体"/>
                <w:kern w:val="0"/>
                <w:sz w:val="24"/>
                <w:szCs w:val="24"/>
                <w:lang w:bidi="ar"/>
              </w:rPr>
              <w:t>八、凡对本次招标提出询问，请按照以下方式联系</w:t>
            </w:r>
          </w:p>
        </w:tc>
      </w:tr>
      <w:tr>
        <w:tblPrEx>
          <w:tblCellMar>
            <w:top w:w="15" w:type="dxa"/>
            <w:left w:w="15" w:type="dxa"/>
            <w:bottom w:w="15" w:type="dxa"/>
            <w:right w:w="15" w:type="dxa"/>
          </w:tblCellMar>
        </w:tblPrEx>
        <w:trPr>
          <w:tblCellSpacing w:w="15" w:type="dxa"/>
        </w:trPr>
        <w:tc>
          <w:tcPr>
            <w:tcW w:w="8336" w:type="dxa"/>
            <w:shd w:val="clear" w:color="auto" w:fill="auto"/>
            <w:vAlign w:val="center"/>
          </w:tcPr>
          <w:p>
            <w:pPr>
              <w:widowControl/>
              <w:spacing w:line="360" w:lineRule="auto"/>
              <w:jc w:val="left"/>
            </w:pPr>
            <w:r>
              <w:rPr>
                <w:rFonts w:ascii="宋体" w:hAnsi="宋体" w:eastAsia="宋体" w:cs="宋体"/>
                <w:kern w:val="0"/>
                <w:sz w:val="24"/>
                <w:szCs w:val="24"/>
                <w:lang w:bidi="ar"/>
              </w:rPr>
              <w:t>1. 采购人信息</w:t>
            </w:r>
          </w:p>
        </w:tc>
      </w:tr>
      <w:tr>
        <w:tblPrEx>
          <w:tblCellMar>
            <w:top w:w="15" w:type="dxa"/>
            <w:left w:w="15" w:type="dxa"/>
            <w:bottom w:w="15" w:type="dxa"/>
            <w:right w:w="15" w:type="dxa"/>
          </w:tblCellMar>
        </w:tblPrEx>
        <w:trPr>
          <w:tblCellSpacing w:w="15" w:type="dxa"/>
        </w:trPr>
        <w:tc>
          <w:tcPr>
            <w:tcW w:w="8336" w:type="dxa"/>
            <w:shd w:val="clear" w:color="auto" w:fill="auto"/>
            <w:vAlign w:val="center"/>
          </w:tcPr>
          <w:p>
            <w:pPr>
              <w:widowControl/>
              <w:spacing w:line="360" w:lineRule="auto"/>
              <w:jc w:val="left"/>
            </w:pPr>
            <w:r>
              <w:rPr>
                <w:rFonts w:ascii="宋体" w:hAnsi="宋体" w:eastAsia="宋体" w:cs="宋体"/>
                <w:kern w:val="0"/>
                <w:sz w:val="24"/>
                <w:szCs w:val="24"/>
                <w:lang w:bidi="ar"/>
              </w:rPr>
              <w:t>名称：</w:t>
            </w:r>
            <w:r>
              <w:rPr>
                <w:rFonts w:hint="eastAsia" w:ascii="宋体" w:hAnsi="宋体" w:eastAsia="宋体" w:cs="宋体"/>
                <w:kern w:val="0"/>
                <w:sz w:val="24"/>
                <w:szCs w:val="24"/>
                <w:lang w:eastAsia="zh-CN" w:bidi="ar"/>
              </w:rPr>
              <w:t>郑州市蔬菜研究所</w:t>
            </w:r>
            <w:r>
              <w:rPr>
                <w:rFonts w:hint="eastAsia" w:ascii="宋体" w:hAnsi="宋体" w:eastAsia="宋体" w:cs="宋体"/>
                <w:kern w:val="0"/>
                <w:sz w:val="24"/>
                <w:szCs w:val="24"/>
                <w:lang w:bidi="ar"/>
              </w:rPr>
              <w:t xml:space="preserve">                                              </w:t>
            </w:r>
          </w:p>
        </w:tc>
      </w:tr>
      <w:tr>
        <w:tblPrEx>
          <w:tblCellMar>
            <w:top w:w="15" w:type="dxa"/>
            <w:left w:w="15" w:type="dxa"/>
            <w:bottom w:w="15" w:type="dxa"/>
            <w:right w:w="15" w:type="dxa"/>
          </w:tblCellMar>
        </w:tblPrEx>
        <w:trPr>
          <w:tblCellSpacing w:w="15" w:type="dxa"/>
        </w:trPr>
        <w:tc>
          <w:tcPr>
            <w:tcW w:w="8336" w:type="dxa"/>
            <w:shd w:val="clear" w:color="auto" w:fill="auto"/>
          </w:tcPr>
          <w:p>
            <w:pPr>
              <w:widowControl/>
              <w:spacing w:line="360" w:lineRule="auto"/>
              <w:jc w:val="left"/>
              <w:rPr>
                <w:sz w:val="24"/>
                <w:szCs w:val="28"/>
              </w:rPr>
            </w:pPr>
            <w:r>
              <w:rPr>
                <w:rFonts w:hint="eastAsia"/>
                <w:sz w:val="24"/>
                <w:szCs w:val="28"/>
              </w:rPr>
              <w:t>地址：郑州市二七区长江中路六号</w:t>
            </w:r>
          </w:p>
        </w:tc>
      </w:tr>
      <w:tr>
        <w:tblPrEx>
          <w:tblCellMar>
            <w:top w:w="15" w:type="dxa"/>
            <w:left w:w="15" w:type="dxa"/>
            <w:bottom w:w="15" w:type="dxa"/>
            <w:right w:w="15" w:type="dxa"/>
          </w:tblCellMar>
        </w:tblPrEx>
        <w:trPr>
          <w:tblCellSpacing w:w="15" w:type="dxa"/>
        </w:trPr>
        <w:tc>
          <w:tcPr>
            <w:tcW w:w="8336" w:type="dxa"/>
            <w:shd w:val="clear" w:color="auto" w:fill="auto"/>
          </w:tcPr>
          <w:p>
            <w:pPr>
              <w:widowControl/>
              <w:spacing w:line="360" w:lineRule="auto"/>
              <w:jc w:val="left"/>
              <w:rPr>
                <w:sz w:val="24"/>
                <w:szCs w:val="28"/>
              </w:rPr>
            </w:pPr>
            <w:r>
              <w:rPr>
                <w:rFonts w:hint="eastAsia"/>
                <w:sz w:val="24"/>
                <w:szCs w:val="28"/>
              </w:rPr>
              <w:t>联系人：谢先生</w:t>
            </w:r>
          </w:p>
        </w:tc>
      </w:tr>
      <w:tr>
        <w:tblPrEx>
          <w:tblCellMar>
            <w:top w:w="15" w:type="dxa"/>
            <w:left w:w="15" w:type="dxa"/>
            <w:bottom w:w="15" w:type="dxa"/>
            <w:right w:w="15" w:type="dxa"/>
          </w:tblCellMar>
        </w:tblPrEx>
        <w:trPr>
          <w:tblCellSpacing w:w="15" w:type="dxa"/>
        </w:trPr>
        <w:tc>
          <w:tcPr>
            <w:tcW w:w="8336" w:type="dxa"/>
            <w:shd w:val="clear" w:color="auto" w:fill="auto"/>
          </w:tcPr>
          <w:p>
            <w:pPr>
              <w:widowControl/>
              <w:spacing w:line="360" w:lineRule="auto"/>
              <w:jc w:val="left"/>
              <w:rPr>
                <w:sz w:val="24"/>
                <w:szCs w:val="28"/>
              </w:rPr>
            </w:pPr>
            <w:r>
              <w:rPr>
                <w:rFonts w:hint="eastAsia"/>
                <w:sz w:val="24"/>
                <w:szCs w:val="28"/>
              </w:rPr>
              <w:t>联系方式：0371-67187877</w:t>
            </w:r>
          </w:p>
        </w:tc>
      </w:tr>
      <w:tr>
        <w:tblPrEx>
          <w:tblCellMar>
            <w:top w:w="15" w:type="dxa"/>
            <w:left w:w="15" w:type="dxa"/>
            <w:bottom w:w="15" w:type="dxa"/>
            <w:right w:w="15" w:type="dxa"/>
          </w:tblCellMar>
        </w:tblPrEx>
        <w:trPr>
          <w:tblCellSpacing w:w="15" w:type="dxa"/>
        </w:trPr>
        <w:tc>
          <w:tcPr>
            <w:tcW w:w="8336" w:type="dxa"/>
            <w:shd w:val="clear" w:color="auto" w:fill="auto"/>
            <w:vAlign w:val="center"/>
          </w:tcPr>
          <w:p>
            <w:pPr>
              <w:widowControl/>
              <w:spacing w:line="360" w:lineRule="auto"/>
              <w:jc w:val="left"/>
            </w:pPr>
            <w:r>
              <w:rPr>
                <w:rFonts w:ascii="宋体" w:hAnsi="宋体" w:eastAsia="宋体" w:cs="宋体"/>
                <w:kern w:val="0"/>
                <w:sz w:val="24"/>
                <w:szCs w:val="24"/>
                <w:lang w:bidi="ar"/>
              </w:rPr>
              <w:t>2.采购代理机构信息</w:t>
            </w:r>
          </w:p>
        </w:tc>
      </w:tr>
      <w:tr>
        <w:tblPrEx>
          <w:tblCellMar>
            <w:top w:w="15" w:type="dxa"/>
            <w:left w:w="15" w:type="dxa"/>
            <w:bottom w:w="15" w:type="dxa"/>
            <w:right w:w="15" w:type="dxa"/>
          </w:tblCellMar>
        </w:tblPrEx>
        <w:trPr>
          <w:tblCellSpacing w:w="15" w:type="dxa"/>
        </w:trPr>
        <w:tc>
          <w:tcPr>
            <w:tcW w:w="8336" w:type="dxa"/>
            <w:shd w:val="clear" w:color="auto" w:fill="auto"/>
            <w:vAlign w:val="center"/>
          </w:tcPr>
          <w:p>
            <w:pPr>
              <w:widowControl/>
              <w:spacing w:line="360" w:lineRule="auto"/>
              <w:jc w:val="left"/>
            </w:pPr>
            <w:r>
              <w:rPr>
                <w:rFonts w:ascii="宋体" w:hAnsi="宋体" w:eastAsia="宋体" w:cs="宋体"/>
                <w:kern w:val="0"/>
                <w:sz w:val="24"/>
                <w:szCs w:val="24"/>
                <w:lang w:bidi="ar"/>
              </w:rPr>
              <w:t>名称：</w:t>
            </w:r>
            <w:r>
              <w:rPr>
                <w:rFonts w:hint="eastAsia" w:ascii="宋体" w:hAnsi="宋体" w:eastAsia="宋体" w:cs="宋体"/>
                <w:kern w:val="0"/>
                <w:sz w:val="24"/>
                <w:szCs w:val="24"/>
                <w:lang w:bidi="ar"/>
              </w:rPr>
              <w:t xml:space="preserve">河南省伟信招标管理咨询有限公司                                          </w:t>
            </w:r>
          </w:p>
        </w:tc>
      </w:tr>
      <w:tr>
        <w:tblPrEx>
          <w:tblCellMar>
            <w:top w:w="15" w:type="dxa"/>
            <w:left w:w="15" w:type="dxa"/>
            <w:bottom w:w="15" w:type="dxa"/>
            <w:right w:w="15" w:type="dxa"/>
          </w:tblCellMar>
        </w:tblPrEx>
        <w:trPr>
          <w:tblCellSpacing w:w="15" w:type="dxa"/>
        </w:trPr>
        <w:tc>
          <w:tcPr>
            <w:tcW w:w="8336" w:type="dxa"/>
            <w:shd w:val="clear" w:color="auto" w:fill="auto"/>
            <w:vAlign w:val="center"/>
          </w:tcPr>
          <w:p>
            <w:pPr>
              <w:widowControl/>
              <w:spacing w:line="360" w:lineRule="auto"/>
              <w:jc w:val="left"/>
            </w:pPr>
            <w:r>
              <w:rPr>
                <w:rFonts w:ascii="宋体" w:hAnsi="宋体" w:eastAsia="宋体" w:cs="宋体"/>
                <w:kern w:val="0"/>
                <w:sz w:val="24"/>
                <w:szCs w:val="24"/>
                <w:lang w:bidi="ar"/>
              </w:rPr>
              <w:t>地址：</w:t>
            </w:r>
            <w:r>
              <w:rPr>
                <w:rFonts w:hint="eastAsia" w:ascii="宋体" w:hAnsi="宋体" w:cs="宋体"/>
                <w:sz w:val="24"/>
              </w:rPr>
              <w:t>郑州市郑东新区东风南路与创业路交叉口绿地中心北塔16楼</w:t>
            </w:r>
            <w:r>
              <w:rPr>
                <w:rFonts w:hint="eastAsia" w:ascii="宋体" w:hAnsi="宋体" w:eastAsia="宋体" w:cs="宋体"/>
                <w:kern w:val="0"/>
                <w:sz w:val="24"/>
                <w:szCs w:val="24"/>
                <w:lang w:bidi="ar"/>
              </w:rPr>
              <w:t xml:space="preserve">                                          </w:t>
            </w:r>
          </w:p>
        </w:tc>
      </w:tr>
      <w:tr>
        <w:tblPrEx>
          <w:tblCellMar>
            <w:top w:w="15" w:type="dxa"/>
            <w:left w:w="15" w:type="dxa"/>
            <w:bottom w:w="15" w:type="dxa"/>
            <w:right w:w="15" w:type="dxa"/>
          </w:tblCellMar>
        </w:tblPrEx>
        <w:trPr>
          <w:tblCellSpacing w:w="15" w:type="dxa"/>
        </w:trPr>
        <w:tc>
          <w:tcPr>
            <w:tcW w:w="8336" w:type="dxa"/>
            <w:shd w:val="clear" w:color="auto" w:fill="auto"/>
            <w:vAlign w:val="center"/>
          </w:tcPr>
          <w:p>
            <w:pPr>
              <w:widowControl/>
              <w:spacing w:line="360" w:lineRule="auto"/>
              <w:jc w:val="left"/>
            </w:pPr>
            <w:r>
              <w:rPr>
                <w:rFonts w:ascii="宋体" w:hAnsi="宋体" w:eastAsia="宋体" w:cs="宋体"/>
                <w:kern w:val="0"/>
                <w:sz w:val="24"/>
                <w:szCs w:val="24"/>
                <w:lang w:bidi="ar"/>
              </w:rPr>
              <w:t>联系人：</w:t>
            </w:r>
            <w:r>
              <w:rPr>
                <w:rFonts w:hint="eastAsia" w:ascii="宋体" w:hAnsi="宋体" w:eastAsia="宋体" w:cs="宋体"/>
                <w:kern w:val="0"/>
                <w:sz w:val="24"/>
                <w:szCs w:val="24"/>
                <w:lang w:val="en-US" w:eastAsia="zh-CN" w:bidi="ar"/>
              </w:rPr>
              <w:t>谭先生、贺先生</w:t>
            </w:r>
            <w:r>
              <w:rPr>
                <w:rFonts w:hint="eastAsia" w:ascii="宋体" w:hAnsi="宋体" w:eastAsia="宋体" w:cs="宋体"/>
                <w:kern w:val="0"/>
                <w:sz w:val="24"/>
                <w:szCs w:val="24"/>
                <w:lang w:bidi="ar"/>
              </w:rPr>
              <w:t xml:space="preserve">                                          </w:t>
            </w:r>
          </w:p>
        </w:tc>
      </w:tr>
      <w:tr>
        <w:tblPrEx>
          <w:tblCellMar>
            <w:top w:w="15" w:type="dxa"/>
            <w:left w:w="15" w:type="dxa"/>
            <w:bottom w:w="15" w:type="dxa"/>
            <w:right w:w="15" w:type="dxa"/>
          </w:tblCellMar>
        </w:tblPrEx>
        <w:trPr>
          <w:tblCellSpacing w:w="15" w:type="dxa"/>
        </w:trPr>
        <w:tc>
          <w:tcPr>
            <w:tcW w:w="8336" w:type="dxa"/>
            <w:shd w:val="clear" w:color="auto" w:fill="auto"/>
            <w:vAlign w:val="center"/>
          </w:tcPr>
          <w:p>
            <w:pPr>
              <w:widowControl/>
              <w:spacing w:line="360" w:lineRule="auto"/>
              <w:jc w:val="left"/>
            </w:pPr>
            <w:r>
              <w:rPr>
                <w:rFonts w:ascii="宋体" w:hAnsi="宋体" w:eastAsia="宋体" w:cs="宋体"/>
                <w:kern w:val="0"/>
                <w:sz w:val="24"/>
                <w:szCs w:val="24"/>
                <w:lang w:bidi="ar"/>
              </w:rPr>
              <w:t>联系方式：</w:t>
            </w:r>
            <w:r>
              <w:rPr>
                <w:rFonts w:hint="eastAsia" w:ascii="宋体" w:hAnsi="宋体" w:eastAsia="宋体" w:cs="宋体"/>
                <w:kern w:val="0"/>
                <w:sz w:val="24"/>
                <w:szCs w:val="24"/>
                <w:lang w:bidi="ar"/>
              </w:rPr>
              <w:t>0</w:t>
            </w:r>
            <w:r>
              <w:rPr>
                <w:rFonts w:ascii="宋体" w:hAnsi="宋体" w:eastAsia="宋体" w:cs="宋体"/>
                <w:kern w:val="0"/>
                <w:sz w:val="24"/>
                <w:szCs w:val="24"/>
                <w:lang w:bidi="ar"/>
              </w:rPr>
              <w:t>371</w:t>
            </w:r>
            <w:r>
              <w:rPr>
                <w:rFonts w:hint="eastAsia" w:ascii="宋体" w:hAnsi="宋体" w:eastAsia="宋体" w:cs="宋体"/>
                <w:kern w:val="0"/>
                <w:sz w:val="24"/>
                <w:szCs w:val="24"/>
                <w:lang w:bidi="ar"/>
              </w:rPr>
              <w:t>-</w:t>
            </w:r>
            <w:r>
              <w:rPr>
                <w:rFonts w:ascii="宋体" w:hAnsi="宋体" w:eastAsia="宋体" w:cs="宋体"/>
                <w:kern w:val="0"/>
                <w:sz w:val="24"/>
                <w:szCs w:val="24"/>
                <w:lang w:bidi="ar"/>
              </w:rPr>
              <w:t>65</w:t>
            </w:r>
            <w:r>
              <w:rPr>
                <w:rFonts w:hint="eastAsia" w:ascii="宋体" w:hAnsi="宋体" w:eastAsia="宋体" w:cs="宋体"/>
                <w:kern w:val="0"/>
                <w:sz w:val="24"/>
                <w:szCs w:val="24"/>
                <w:lang w:val="en-US" w:eastAsia="zh-CN" w:bidi="ar"/>
              </w:rPr>
              <w:t>837988</w:t>
            </w:r>
            <w:r>
              <w:rPr>
                <w:rFonts w:hint="eastAsia" w:ascii="宋体" w:hAnsi="宋体" w:eastAsia="宋体" w:cs="宋体"/>
                <w:kern w:val="0"/>
                <w:sz w:val="24"/>
                <w:szCs w:val="24"/>
                <w:lang w:bidi="ar"/>
              </w:rPr>
              <w:t xml:space="preserve">                                        </w:t>
            </w:r>
          </w:p>
        </w:tc>
      </w:tr>
      <w:tr>
        <w:tblPrEx>
          <w:tblCellMar>
            <w:top w:w="15" w:type="dxa"/>
            <w:left w:w="15" w:type="dxa"/>
            <w:bottom w:w="15" w:type="dxa"/>
            <w:right w:w="15" w:type="dxa"/>
          </w:tblCellMar>
        </w:tblPrEx>
        <w:trPr>
          <w:tblCellSpacing w:w="15" w:type="dxa"/>
        </w:trPr>
        <w:tc>
          <w:tcPr>
            <w:tcW w:w="8336" w:type="dxa"/>
            <w:shd w:val="clear" w:color="auto" w:fill="auto"/>
            <w:vAlign w:val="center"/>
          </w:tcPr>
          <w:p>
            <w:pPr>
              <w:widowControl/>
              <w:spacing w:line="360" w:lineRule="auto"/>
              <w:jc w:val="left"/>
            </w:pPr>
            <w:r>
              <w:rPr>
                <w:rFonts w:ascii="宋体" w:hAnsi="宋体" w:eastAsia="宋体" w:cs="宋体"/>
                <w:kern w:val="0"/>
                <w:sz w:val="24"/>
                <w:szCs w:val="24"/>
                <w:lang w:bidi="ar"/>
              </w:rPr>
              <w:t>3.项目联系方式</w:t>
            </w:r>
          </w:p>
        </w:tc>
      </w:tr>
      <w:tr>
        <w:tblPrEx>
          <w:tblCellMar>
            <w:top w:w="15" w:type="dxa"/>
            <w:left w:w="15" w:type="dxa"/>
            <w:bottom w:w="15" w:type="dxa"/>
            <w:right w:w="15" w:type="dxa"/>
          </w:tblCellMar>
        </w:tblPrEx>
        <w:trPr>
          <w:tblCellSpacing w:w="15" w:type="dxa"/>
        </w:trPr>
        <w:tc>
          <w:tcPr>
            <w:tcW w:w="8336" w:type="dxa"/>
            <w:shd w:val="clear" w:color="auto" w:fill="auto"/>
            <w:vAlign w:val="center"/>
          </w:tcPr>
          <w:p>
            <w:pPr>
              <w:widowControl/>
              <w:spacing w:line="360" w:lineRule="auto"/>
              <w:jc w:val="left"/>
            </w:pPr>
            <w:r>
              <w:rPr>
                <w:rFonts w:ascii="宋体" w:hAnsi="宋体" w:eastAsia="宋体" w:cs="宋体"/>
                <w:kern w:val="0"/>
                <w:sz w:val="24"/>
                <w:szCs w:val="24"/>
                <w:lang w:bidi="ar"/>
              </w:rPr>
              <w:t>项目联系人：</w:t>
            </w:r>
            <w:r>
              <w:rPr>
                <w:rFonts w:hint="eastAsia" w:ascii="宋体" w:hAnsi="宋体" w:eastAsia="宋体" w:cs="宋体"/>
                <w:kern w:val="0"/>
                <w:sz w:val="24"/>
                <w:szCs w:val="24"/>
                <w:lang w:val="en-US" w:eastAsia="zh-CN" w:bidi="ar"/>
              </w:rPr>
              <w:t>谭先生、贺先生</w:t>
            </w:r>
            <w:r>
              <w:rPr>
                <w:rFonts w:hint="eastAsia" w:ascii="宋体" w:hAnsi="宋体" w:eastAsia="宋体" w:cs="宋体"/>
                <w:kern w:val="0"/>
                <w:sz w:val="24"/>
                <w:szCs w:val="24"/>
                <w:lang w:bidi="ar"/>
              </w:rPr>
              <w:t xml:space="preserve">                                          </w:t>
            </w:r>
          </w:p>
        </w:tc>
      </w:tr>
      <w:tr>
        <w:tblPrEx>
          <w:tblCellMar>
            <w:top w:w="15" w:type="dxa"/>
            <w:left w:w="15" w:type="dxa"/>
            <w:bottom w:w="15" w:type="dxa"/>
            <w:right w:w="15" w:type="dxa"/>
          </w:tblCellMar>
        </w:tblPrEx>
        <w:trPr>
          <w:trHeight w:val="30" w:hRule="atLeast"/>
          <w:tblCellSpacing w:w="15" w:type="dxa"/>
        </w:trPr>
        <w:tc>
          <w:tcPr>
            <w:tcW w:w="8336" w:type="dxa"/>
            <w:shd w:val="clear" w:color="auto" w:fill="auto"/>
            <w:vAlign w:val="center"/>
          </w:tcPr>
          <w:p>
            <w:pPr>
              <w:widowControl/>
              <w:spacing w:line="360" w:lineRule="auto"/>
              <w:jc w:val="left"/>
            </w:pPr>
            <w:r>
              <w:rPr>
                <w:rFonts w:ascii="宋体" w:hAnsi="宋体" w:eastAsia="宋体" w:cs="宋体"/>
                <w:kern w:val="0"/>
                <w:sz w:val="24"/>
                <w:szCs w:val="24"/>
                <w:lang w:bidi="ar"/>
              </w:rPr>
              <w:t>联系方式：</w:t>
            </w:r>
            <w:r>
              <w:rPr>
                <w:rFonts w:hint="eastAsia" w:ascii="宋体" w:hAnsi="宋体" w:eastAsia="宋体" w:cs="宋体"/>
                <w:kern w:val="0"/>
                <w:sz w:val="24"/>
                <w:szCs w:val="24"/>
                <w:lang w:bidi="ar"/>
              </w:rPr>
              <w:t xml:space="preserve"> 0</w:t>
            </w:r>
            <w:r>
              <w:rPr>
                <w:rFonts w:ascii="宋体" w:hAnsi="宋体" w:eastAsia="宋体" w:cs="宋体"/>
                <w:kern w:val="0"/>
                <w:sz w:val="24"/>
                <w:szCs w:val="24"/>
                <w:lang w:bidi="ar"/>
              </w:rPr>
              <w:t>371</w:t>
            </w:r>
            <w:r>
              <w:rPr>
                <w:rFonts w:hint="eastAsia" w:ascii="宋体" w:hAnsi="宋体" w:eastAsia="宋体" w:cs="宋体"/>
                <w:kern w:val="0"/>
                <w:sz w:val="24"/>
                <w:szCs w:val="24"/>
                <w:lang w:bidi="ar"/>
              </w:rPr>
              <w:t>-</w:t>
            </w:r>
            <w:r>
              <w:rPr>
                <w:rFonts w:ascii="宋体" w:hAnsi="宋体" w:eastAsia="宋体" w:cs="宋体"/>
                <w:kern w:val="0"/>
                <w:sz w:val="24"/>
                <w:szCs w:val="24"/>
                <w:lang w:bidi="ar"/>
              </w:rPr>
              <w:t>65</w:t>
            </w:r>
            <w:r>
              <w:rPr>
                <w:rFonts w:hint="eastAsia" w:ascii="宋体" w:hAnsi="宋体" w:eastAsia="宋体" w:cs="宋体"/>
                <w:kern w:val="0"/>
                <w:sz w:val="24"/>
                <w:szCs w:val="24"/>
                <w:lang w:val="en-US" w:eastAsia="zh-CN" w:bidi="ar"/>
              </w:rPr>
              <w:t>837988</w:t>
            </w:r>
            <w:r>
              <w:rPr>
                <w:rFonts w:hint="eastAsia" w:ascii="宋体" w:hAnsi="宋体" w:eastAsia="宋体" w:cs="宋体"/>
                <w:kern w:val="0"/>
                <w:sz w:val="24"/>
                <w:szCs w:val="24"/>
                <w:lang w:bidi="ar"/>
              </w:rPr>
              <w:t xml:space="preserve">                                           </w:t>
            </w:r>
          </w:p>
        </w:tc>
      </w:tr>
    </w:tbl>
    <w:p>
      <w:pPr>
        <w:widowControl/>
        <w:adjustRightInd w:val="0"/>
        <w:snapToGrid w:val="0"/>
        <w:spacing w:line="360" w:lineRule="auto"/>
        <w:ind w:firstLine="480" w:firstLineChars="200"/>
        <w:jc w:val="left"/>
        <w:rPr>
          <w:rFonts w:cs="宋体" w:asciiTheme="minorEastAsia" w:hAnsiTheme="minorEastAsia"/>
          <w:b/>
          <w:bCs/>
          <w:sz w:val="24"/>
        </w:rPr>
      </w:pPr>
      <w:r>
        <w:rPr>
          <w:rFonts w:hint="eastAsia" w:cs="宋体" w:asciiTheme="minorEastAsia" w:hAnsiTheme="minorEastAsia"/>
          <w:kern w:val="0"/>
          <w:sz w:val="24"/>
          <w:lang w:val="zh-CN"/>
        </w:rPr>
        <w:t xml:space="preserve">     </w:t>
      </w:r>
    </w:p>
    <w:p>
      <w:pPr>
        <w:snapToGrid w:val="0"/>
        <w:spacing w:line="360" w:lineRule="auto"/>
        <w:ind w:firstLine="2760" w:firstLineChars="1150"/>
        <w:jc w:val="center"/>
        <w:rPr>
          <w:rFonts w:cs="宋体" w:asciiTheme="minorEastAsia" w:hAnsiTheme="minorEastAsia"/>
          <w:sz w:val="24"/>
        </w:rPr>
      </w:pPr>
      <w:r>
        <w:rPr>
          <w:rFonts w:hint="eastAsia" w:cs="宋体" w:asciiTheme="minorEastAsia" w:hAnsiTheme="minorEastAsia"/>
          <w:sz w:val="24"/>
        </w:rPr>
        <w:t xml:space="preserve">        发布人：</w:t>
      </w:r>
      <w:r>
        <w:rPr>
          <w:rStyle w:val="285"/>
          <w:color w:val="auto"/>
          <w:sz w:val="24"/>
        </w:rPr>
        <w:t>张雁</w:t>
      </w:r>
    </w:p>
    <w:p>
      <w:pPr>
        <w:rPr>
          <w:color w:val="auto"/>
        </w:rPr>
      </w:pPr>
      <w:r>
        <w:rPr>
          <w:rFonts w:hint="eastAsia" w:cs="宋体" w:asciiTheme="minorEastAsia" w:hAnsiTheme="minorEastAsia"/>
          <w:sz w:val="24"/>
        </w:rPr>
        <w:t xml:space="preserve">                                         发布时间：</w:t>
      </w:r>
      <w:r>
        <w:rPr>
          <w:rFonts w:hint="eastAsia" w:cs="宋体" w:asciiTheme="minorEastAsia" w:hAnsiTheme="minorEastAsia"/>
          <w:color w:val="auto"/>
          <w:sz w:val="24"/>
        </w:rPr>
        <w:t>2020年</w:t>
      </w:r>
      <w:r>
        <w:rPr>
          <w:rFonts w:hint="eastAsia" w:cs="宋体" w:asciiTheme="minorEastAsia" w:hAnsiTheme="minorEastAsia"/>
          <w:color w:val="auto"/>
          <w:kern w:val="0"/>
          <w:sz w:val="24"/>
          <w:lang w:val="en-US" w:eastAsia="zh-CN"/>
        </w:rPr>
        <w:t>8</w:t>
      </w:r>
      <w:r>
        <w:rPr>
          <w:rFonts w:hint="eastAsia" w:cs="宋体" w:asciiTheme="minorEastAsia" w:hAnsiTheme="minorEastAsia"/>
          <w:color w:val="auto"/>
          <w:sz w:val="24"/>
        </w:rPr>
        <w:t>月</w:t>
      </w:r>
      <w:r>
        <w:rPr>
          <w:rFonts w:hint="eastAsia" w:cs="宋体" w:asciiTheme="minorEastAsia" w:hAnsiTheme="minorEastAsia"/>
          <w:color w:val="auto"/>
          <w:sz w:val="24"/>
          <w:lang w:val="en-US" w:eastAsia="zh-CN"/>
        </w:rPr>
        <w:t>20</w:t>
      </w:r>
      <w:r>
        <w:rPr>
          <w:rFonts w:hint="eastAsia" w:cs="宋体" w:asciiTheme="minorEastAsia" w:hAnsiTheme="minorEastAsia"/>
          <w:color w:val="auto"/>
          <w:sz w:val="24"/>
        </w:rPr>
        <w:t>日</w:t>
      </w:r>
    </w:p>
    <w:bookmarkEnd w:id="1"/>
    <w:p>
      <w:pPr>
        <w:rPr>
          <w:rFonts w:asciiTheme="minorEastAsia" w:hAnsiTheme="minorEastAsia"/>
        </w:rPr>
      </w:pPr>
      <w:r>
        <w:rPr>
          <w:rFonts w:asciiTheme="minorEastAsia" w:hAnsiTheme="minorEastAsia"/>
        </w:rPr>
        <w:br w:type="page"/>
      </w:r>
    </w:p>
    <w:p>
      <w:pPr>
        <w:pStyle w:val="3"/>
        <w:spacing w:before="0" w:after="0"/>
        <w:jc w:val="center"/>
        <w:rPr>
          <w:rFonts w:asciiTheme="minorEastAsia" w:hAnsiTheme="minorEastAsia"/>
          <w:sz w:val="32"/>
        </w:rPr>
      </w:pPr>
      <w:bookmarkStart w:id="2" w:name="_Toc43371473"/>
      <w:r>
        <w:rPr>
          <w:rFonts w:hint="eastAsia" w:asciiTheme="minorEastAsia" w:hAnsiTheme="minorEastAsia"/>
          <w:sz w:val="32"/>
        </w:rPr>
        <w:t xml:space="preserve">第二章 </w:t>
      </w:r>
      <w:r>
        <w:rPr>
          <w:rFonts w:hint="eastAsia" w:asciiTheme="minorEastAsia" w:hAnsiTheme="minorEastAsia"/>
          <w:sz w:val="32"/>
          <w:lang w:eastAsia="zh-CN"/>
        </w:rPr>
        <w:t>响应人</w:t>
      </w:r>
      <w:r>
        <w:rPr>
          <w:rFonts w:hint="eastAsia" w:asciiTheme="minorEastAsia" w:hAnsiTheme="minorEastAsia"/>
          <w:sz w:val="32"/>
        </w:rPr>
        <w:t>须知</w:t>
      </w:r>
      <w:bookmarkEnd w:id="2"/>
    </w:p>
    <w:p>
      <w:pPr>
        <w:rPr>
          <w:rFonts w:asciiTheme="minorEastAsia" w:hAnsiTheme="minorEastAsia"/>
        </w:rPr>
      </w:pPr>
      <w:r>
        <w:rPr>
          <w:rFonts w:hint="eastAsia" w:asciiTheme="minorEastAsia" w:hAnsiTheme="minorEastAsia"/>
          <w:lang w:eastAsia="zh-CN"/>
        </w:rPr>
        <w:t>响应人</w:t>
      </w:r>
      <w:r>
        <w:rPr>
          <w:rFonts w:hint="eastAsia" w:asciiTheme="minorEastAsia" w:hAnsiTheme="minorEastAsia"/>
        </w:rPr>
        <w:t>须知前附表</w:t>
      </w:r>
    </w:p>
    <w:tbl>
      <w:tblPr>
        <w:tblStyle w:val="64"/>
        <w:tblW w:w="8316" w:type="dxa"/>
        <w:tblInd w:w="0" w:type="dxa"/>
        <w:tblLayout w:type="fixed"/>
        <w:tblCellMar>
          <w:top w:w="0" w:type="dxa"/>
          <w:left w:w="0" w:type="dxa"/>
          <w:bottom w:w="0" w:type="dxa"/>
          <w:right w:w="0" w:type="dxa"/>
        </w:tblCellMar>
      </w:tblPr>
      <w:tblGrid>
        <w:gridCol w:w="1038"/>
        <w:gridCol w:w="2368"/>
        <w:gridCol w:w="4910"/>
      </w:tblGrid>
      <w:tr>
        <w:tblPrEx>
          <w:tblCellMar>
            <w:top w:w="0" w:type="dxa"/>
            <w:left w:w="0" w:type="dxa"/>
            <w:bottom w:w="0" w:type="dxa"/>
            <w:right w:w="0" w:type="dxa"/>
          </w:tblCellMar>
        </w:tblPrEx>
        <w:trPr>
          <w:trHeight w:val="449" w:hRule="exact"/>
        </w:trPr>
        <w:tc>
          <w:tcPr>
            <w:tcW w:w="1038" w:type="dxa"/>
            <w:tcBorders>
              <w:top w:val="single" w:color="000000" w:sz="4" w:space="0"/>
              <w:left w:val="single" w:color="000000" w:sz="4" w:space="0"/>
              <w:bottom w:val="single" w:color="000000" w:sz="4" w:space="0"/>
              <w:right w:val="single" w:color="000000" w:sz="4" w:space="0"/>
            </w:tcBorders>
            <w:vAlign w:val="center"/>
          </w:tcPr>
          <w:p>
            <w:pPr>
              <w:jc w:val="center"/>
              <w:rPr>
                <w:rFonts w:asciiTheme="minorEastAsia" w:hAnsiTheme="minorEastAsia"/>
                <w:kern w:val="0"/>
                <w:szCs w:val="21"/>
                <w:lang w:eastAsia="en-US"/>
              </w:rPr>
            </w:pPr>
            <w:r>
              <w:rPr>
                <w:rFonts w:asciiTheme="minorEastAsia" w:hAnsiTheme="minorEastAsia"/>
                <w:kern w:val="0"/>
                <w:szCs w:val="21"/>
                <w:lang w:eastAsia="en-US"/>
              </w:rPr>
              <w:t>条款号</w:t>
            </w:r>
          </w:p>
        </w:tc>
        <w:tc>
          <w:tcPr>
            <w:tcW w:w="2368" w:type="dxa"/>
            <w:tcBorders>
              <w:top w:val="single" w:color="000000" w:sz="4" w:space="0"/>
              <w:left w:val="single" w:color="000000" w:sz="4" w:space="0"/>
              <w:bottom w:val="single" w:color="000000" w:sz="4" w:space="0"/>
              <w:right w:val="single" w:color="000000" w:sz="4" w:space="0"/>
            </w:tcBorders>
            <w:vAlign w:val="center"/>
          </w:tcPr>
          <w:p>
            <w:pPr>
              <w:jc w:val="center"/>
              <w:rPr>
                <w:rFonts w:asciiTheme="minorEastAsia" w:hAnsiTheme="minorEastAsia"/>
                <w:kern w:val="0"/>
                <w:szCs w:val="21"/>
                <w:lang w:eastAsia="en-US"/>
              </w:rPr>
            </w:pPr>
            <w:r>
              <w:rPr>
                <w:rFonts w:asciiTheme="minorEastAsia" w:hAnsiTheme="minorEastAsia"/>
                <w:kern w:val="0"/>
                <w:szCs w:val="21"/>
                <w:lang w:eastAsia="en-US"/>
              </w:rPr>
              <w:t>条款名称</w:t>
            </w:r>
          </w:p>
        </w:tc>
        <w:tc>
          <w:tcPr>
            <w:tcW w:w="4910" w:type="dxa"/>
            <w:tcBorders>
              <w:top w:val="single" w:color="000000" w:sz="4" w:space="0"/>
              <w:left w:val="single" w:color="000000" w:sz="4" w:space="0"/>
              <w:bottom w:val="single" w:color="000000" w:sz="4" w:space="0"/>
              <w:right w:val="single" w:color="000000" w:sz="4" w:space="0"/>
            </w:tcBorders>
            <w:vAlign w:val="center"/>
          </w:tcPr>
          <w:p>
            <w:pPr>
              <w:jc w:val="center"/>
              <w:rPr>
                <w:rFonts w:asciiTheme="minorEastAsia" w:hAnsiTheme="minorEastAsia"/>
                <w:kern w:val="0"/>
                <w:szCs w:val="21"/>
                <w:lang w:eastAsia="en-US"/>
              </w:rPr>
            </w:pPr>
            <w:r>
              <w:rPr>
                <w:rFonts w:asciiTheme="minorEastAsia" w:hAnsiTheme="minorEastAsia"/>
                <w:kern w:val="0"/>
                <w:szCs w:val="21"/>
                <w:lang w:eastAsia="en-US"/>
              </w:rPr>
              <w:t>编列内容</w:t>
            </w:r>
          </w:p>
        </w:tc>
      </w:tr>
      <w:tr>
        <w:tblPrEx>
          <w:tblCellMar>
            <w:top w:w="0" w:type="dxa"/>
            <w:left w:w="0" w:type="dxa"/>
            <w:bottom w:w="0" w:type="dxa"/>
            <w:right w:w="0" w:type="dxa"/>
          </w:tblCellMar>
        </w:tblPrEx>
        <w:tc>
          <w:tcPr>
            <w:tcW w:w="1038" w:type="dxa"/>
            <w:tcBorders>
              <w:top w:val="single" w:color="000000" w:sz="4" w:space="0"/>
              <w:left w:val="single" w:color="000000" w:sz="4" w:space="0"/>
              <w:bottom w:val="single" w:color="000000" w:sz="4" w:space="0"/>
              <w:right w:val="single" w:color="000000" w:sz="4" w:space="0"/>
            </w:tcBorders>
            <w:vAlign w:val="center"/>
          </w:tcPr>
          <w:p>
            <w:pPr>
              <w:jc w:val="center"/>
              <w:rPr>
                <w:rFonts w:asciiTheme="minorEastAsia" w:hAnsiTheme="minorEastAsia"/>
                <w:kern w:val="0"/>
                <w:szCs w:val="21"/>
                <w:lang w:eastAsia="en-US"/>
              </w:rPr>
            </w:pPr>
            <w:r>
              <w:rPr>
                <w:rFonts w:asciiTheme="minorEastAsia" w:hAnsiTheme="minorEastAsia"/>
                <w:kern w:val="0"/>
                <w:szCs w:val="21"/>
                <w:lang w:eastAsia="en-US"/>
              </w:rPr>
              <w:t>1.1.2</w:t>
            </w:r>
          </w:p>
        </w:tc>
        <w:tc>
          <w:tcPr>
            <w:tcW w:w="2368" w:type="dxa"/>
            <w:tcBorders>
              <w:top w:val="single" w:color="000000" w:sz="4" w:space="0"/>
              <w:left w:val="single" w:color="000000" w:sz="4" w:space="0"/>
              <w:bottom w:val="single" w:color="000000" w:sz="4" w:space="0"/>
              <w:right w:val="single" w:color="000000" w:sz="4" w:space="0"/>
            </w:tcBorders>
            <w:vAlign w:val="center"/>
          </w:tcPr>
          <w:p>
            <w:pPr>
              <w:jc w:val="center"/>
              <w:rPr>
                <w:rFonts w:asciiTheme="minorEastAsia" w:hAnsiTheme="minorEastAsia"/>
                <w:kern w:val="0"/>
                <w:szCs w:val="21"/>
                <w:lang w:eastAsia="en-US"/>
              </w:rPr>
            </w:pPr>
            <w:r>
              <w:rPr>
                <w:rFonts w:hint="eastAsia" w:asciiTheme="minorEastAsia" w:hAnsiTheme="minorEastAsia"/>
                <w:kern w:val="0"/>
                <w:szCs w:val="21"/>
                <w:lang w:eastAsia="en-US"/>
              </w:rPr>
              <w:t>采购人</w:t>
            </w:r>
          </w:p>
        </w:tc>
        <w:tc>
          <w:tcPr>
            <w:tcW w:w="4910" w:type="dxa"/>
            <w:tcBorders>
              <w:top w:val="single" w:color="000000" w:sz="4" w:space="0"/>
              <w:left w:val="single" w:color="000000" w:sz="4" w:space="0"/>
              <w:bottom w:val="single" w:color="000000" w:sz="4" w:space="0"/>
              <w:right w:val="single" w:color="000000" w:sz="4" w:space="0"/>
            </w:tcBorders>
            <w:vAlign w:val="center"/>
          </w:tcPr>
          <w:p>
            <w:pPr>
              <w:rPr>
                <w:rFonts w:hint="eastAsia" w:asciiTheme="minorEastAsia" w:hAnsiTheme="minorEastAsia"/>
                <w:kern w:val="0"/>
                <w:szCs w:val="21"/>
                <w:lang w:eastAsia="zh-CN"/>
              </w:rPr>
            </w:pPr>
            <w:r>
              <w:rPr>
                <w:rFonts w:hint="eastAsia" w:asciiTheme="minorEastAsia" w:hAnsiTheme="minorEastAsia"/>
                <w:kern w:val="0"/>
                <w:szCs w:val="21"/>
                <w:lang w:eastAsia="zh-CN"/>
              </w:rPr>
              <w:t xml:space="preserve">名   称：郑州市蔬菜研究所       </w:t>
            </w:r>
          </w:p>
          <w:p>
            <w:pPr>
              <w:rPr>
                <w:rFonts w:hint="eastAsia" w:asciiTheme="minorEastAsia" w:hAnsiTheme="minorEastAsia"/>
                <w:kern w:val="0"/>
                <w:szCs w:val="21"/>
                <w:lang w:eastAsia="zh-CN"/>
              </w:rPr>
            </w:pPr>
            <w:r>
              <w:rPr>
                <w:rFonts w:hint="eastAsia" w:asciiTheme="minorEastAsia" w:hAnsiTheme="minorEastAsia"/>
                <w:kern w:val="0"/>
                <w:szCs w:val="21"/>
                <w:lang w:eastAsia="zh-CN"/>
              </w:rPr>
              <w:t>联 系 人： 谢先生</w:t>
            </w:r>
          </w:p>
          <w:p>
            <w:pPr>
              <w:rPr>
                <w:rFonts w:hint="eastAsia" w:asciiTheme="minorEastAsia" w:hAnsiTheme="minorEastAsia"/>
                <w:kern w:val="0"/>
                <w:szCs w:val="21"/>
                <w:lang w:eastAsia="zh-CN"/>
              </w:rPr>
            </w:pPr>
            <w:r>
              <w:rPr>
                <w:rFonts w:hint="eastAsia" w:asciiTheme="minorEastAsia" w:hAnsiTheme="minorEastAsia"/>
                <w:kern w:val="0"/>
                <w:szCs w:val="21"/>
                <w:lang w:eastAsia="zh-CN"/>
              </w:rPr>
              <w:t>联系电话： 0371-67187877</w:t>
            </w:r>
          </w:p>
          <w:p>
            <w:pPr>
              <w:rPr>
                <w:rFonts w:asciiTheme="minorEastAsia" w:hAnsiTheme="minorEastAsia"/>
                <w:kern w:val="0"/>
                <w:szCs w:val="21"/>
                <w:lang w:eastAsia="zh-CN"/>
              </w:rPr>
            </w:pPr>
            <w:r>
              <w:rPr>
                <w:rFonts w:hint="eastAsia" w:asciiTheme="minorEastAsia" w:hAnsiTheme="minorEastAsia"/>
                <w:kern w:val="0"/>
                <w:szCs w:val="21"/>
                <w:lang w:eastAsia="zh-CN"/>
              </w:rPr>
              <w:t>联系地址：郑州市二七区长江中路六号</w:t>
            </w:r>
          </w:p>
        </w:tc>
      </w:tr>
      <w:tr>
        <w:tblPrEx>
          <w:tblCellMar>
            <w:top w:w="0" w:type="dxa"/>
            <w:left w:w="0" w:type="dxa"/>
            <w:bottom w:w="0" w:type="dxa"/>
            <w:right w:w="0" w:type="dxa"/>
          </w:tblCellMar>
        </w:tblPrEx>
        <w:tc>
          <w:tcPr>
            <w:tcW w:w="1038" w:type="dxa"/>
            <w:tcBorders>
              <w:top w:val="single" w:color="000000" w:sz="4" w:space="0"/>
              <w:left w:val="single" w:color="000000" w:sz="4" w:space="0"/>
              <w:bottom w:val="single" w:color="000000" w:sz="4" w:space="0"/>
              <w:right w:val="single" w:color="000000" w:sz="4" w:space="0"/>
            </w:tcBorders>
            <w:vAlign w:val="center"/>
          </w:tcPr>
          <w:p>
            <w:pPr>
              <w:jc w:val="center"/>
              <w:rPr>
                <w:rFonts w:asciiTheme="minorEastAsia" w:hAnsiTheme="minorEastAsia"/>
                <w:kern w:val="0"/>
                <w:szCs w:val="21"/>
                <w:lang w:eastAsia="en-US"/>
              </w:rPr>
            </w:pPr>
            <w:r>
              <w:rPr>
                <w:rFonts w:asciiTheme="minorEastAsia" w:hAnsiTheme="minorEastAsia"/>
                <w:kern w:val="0"/>
                <w:szCs w:val="21"/>
                <w:lang w:eastAsia="en-US"/>
              </w:rPr>
              <w:t>1.1.3</w:t>
            </w:r>
          </w:p>
        </w:tc>
        <w:tc>
          <w:tcPr>
            <w:tcW w:w="2368" w:type="dxa"/>
            <w:tcBorders>
              <w:top w:val="single" w:color="000000" w:sz="4" w:space="0"/>
              <w:left w:val="single" w:color="000000" w:sz="4" w:space="0"/>
              <w:bottom w:val="single" w:color="000000" w:sz="4" w:space="0"/>
              <w:right w:val="single" w:color="000000" w:sz="4" w:space="0"/>
            </w:tcBorders>
            <w:vAlign w:val="center"/>
          </w:tcPr>
          <w:p>
            <w:pPr>
              <w:jc w:val="center"/>
              <w:rPr>
                <w:rFonts w:asciiTheme="minorEastAsia" w:hAnsiTheme="minorEastAsia"/>
                <w:kern w:val="0"/>
                <w:szCs w:val="21"/>
                <w:lang w:eastAsia="en-US"/>
              </w:rPr>
            </w:pPr>
            <w:r>
              <w:rPr>
                <w:rFonts w:asciiTheme="minorEastAsia" w:hAnsiTheme="minorEastAsia"/>
                <w:kern w:val="0"/>
                <w:szCs w:val="21"/>
                <w:lang w:eastAsia="en-US"/>
              </w:rPr>
              <w:t>采购代理机构</w:t>
            </w:r>
          </w:p>
        </w:tc>
        <w:tc>
          <w:tcPr>
            <w:tcW w:w="4910" w:type="dxa"/>
            <w:tcBorders>
              <w:top w:val="single" w:color="000000" w:sz="4" w:space="0"/>
              <w:left w:val="single" w:color="000000" w:sz="4" w:space="0"/>
              <w:bottom w:val="single" w:color="000000" w:sz="4" w:space="0"/>
              <w:right w:val="single" w:color="000000" w:sz="4" w:space="0"/>
            </w:tcBorders>
            <w:vAlign w:val="center"/>
          </w:tcPr>
          <w:p>
            <w:pPr>
              <w:rPr>
                <w:rFonts w:hint="eastAsia" w:asciiTheme="minorEastAsia" w:hAnsiTheme="minorEastAsia"/>
                <w:kern w:val="0"/>
                <w:szCs w:val="21"/>
                <w:lang w:eastAsia="en-US"/>
              </w:rPr>
            </w:pPr>
            <w:r>
              <w:rPr>
                <w:rFonts w:hint="eastAsia" w:asciiTheme="minorEastAsia" w:hAnsiTheme="minorEastAsia"/>
                <w:kern w:val="0"/>
                <w:szCs w:val="21"/>
                <w:lang w:eastAsia="en-US"/>
              </w:rPr>
              <w:t>采购代理机构：河南省伟信招标管理咨询有限公司</w:t>
            </w:r>
          </w:p>
          <w:p>
            <w:pPr>
              <w:rPr>
                <w:rFonts w:hint="eastAsia" w:asciiTheme="minorEastAsia" w:hAnsiTheme="minorEastAsia"/>
                <w:kern w:val="0"/>
                <w:szCs w:val="21"/>
                <w:lang w:eastAsia="en-US"/>
              </w:rPr>
            </w:pPr>
            <w:r>
              <w:rPr>
                <w:rFonts w:hint="eastAsia" w:asciiTheme="minorEastAsia" w:hAnsiTheme="minorEastAsia"/>
                <w:kern w:val="0"/>
                <w:szCs w:val="21"/>
                <w:lang w:eastAsia="en-US"/>
              </w:rPr>
              <w:t>联 系 人：谭先生  贺先生</w:t>
            </w:r>
          </w:p>
          <w:p>
            <w:pPr>
              <w:rPr>
                <w:rFonts w:hint="eastAsia" w:asciiTheme="minorEastAsia" w:hAnsiTheme="minorEastAsia"/>
                <w:kern w:val="0"/>
                <w:szCs w:val="21"/>
                <w:lang w:eastAsia="en-US"/>
              </w:rPr>
            </w:pPr>
            <w:r>
              <w:rPr>
                <w:rFonts w:hint="eastAsia" w:asciiTheme="minorEastAsia" w:hAnsiTheme="minorEastAsia"/>
                <w:kern w:val="0"/>
                <w:szCs w:val="21"/>
                <w:lang w:eastAsia="en-US"/>
              </w:rPr>
              <w:t xml:space="preserve">联系电话：0371-65837988   </w:t>
            </w:r>
          </w:p>
          <w:p>
            <w:pPr>
              <w:rPr>
                <w:rFonts w:asciiTheme="minorEastAsia" w:hAnsiTheme="minorEastAsia"/>
                <w:kern w:val="0"/>
                <w:szCs w:val="21"/>
                <w:lang w:eastAsia="en-US"/>
              </w:rPr>
            </w:pPr>
            <w:r>
              <w:rPr>
                <w:rFonts w:hint="eastAsia" w:asciiTheme="minorEastAsia" w:hAnsiTheme="minorEastAsia"/>
                <w:kern w:val="0"/>
                <w:szCs w:val="21"/>
                <w:lang w:eastAsia="en-US"/>
              </w:rPr>
              <w:t>联系地址：郑州市郑东新区东风南路6号绿地中心北塔16楼</w:t>
            </w:r>
          </w:p>
        </w:tc>
      </w:tr>
      <w:tr>
        <w:tblPrEx>
          <w:tblCellMar>
            <w:top w:w="0" w:type="dxa"/>
            <w:left w:w="0" w:type="dxa"/>
            <w:bottom w:w="0" w:type="dxa"/>
            <w:right w:w="0" w:type="dxa"/>
          </w:tblCellMar>
        </w:tblPrEx>
        <w:tc>
          <w:tcPr>
            <w:tcW w:w="1038" w:type="dxa"/>
            <w:tcBorders>
              <w:top w:val="single" w:color="000000" w:sz="4" w:space="0"/>
              <w:left w:val="single" w:color="000000" w:sz="4" w:space="0"/>
              <w:bottom w:val="single" w:color="000000" w:sz="4" w:space="0"/>
              <w:right w:val="single" w:color="000000" w:sz="4" w:space="0"/>
            </w:tcBorders>
            <w:vAlign w:val="center"/>
          </w:tcPr>
          <w:p>
            <w:pPr>
              <w:jc w:val="center"/>
              <w:rPr>
                <w:rFonts w:asciiTheme="minorEastAsia" w:hAnsiTheme="minorEastAsia"/>
                <w:kern w:val="0"/>
                <w:szCs w:val="21"/>
                <w:lang w:eastAsia="en-US"/>
              </w:rPr>
            </w:pPr>
            <w:r>
              <w:rPr>
                <w:rFonts w:asciiTheme="minorEastAsia" w:hAnsiTheme="minorEastAsia"/>
                <w:kern w:val="0"/>
                <w:szCs w:val="21"/>
                <w:lang w:eastAsia="en-US"/>
              </w:rPr>
              <w:t>1.1.4</w:t>
            </w:r>
          </w:p>
        </w:tc>
        <w:tc>
          <w:tcPr>
            <w:tcW w:w="2368" w:type="dxa"/>
            <w:tcBorders>
              <w:top w:val="single" w:color="000000" w:sz="4" w:space="0"/>
              <w:left w:val="single" w:color="000000" w:sz="4" w:space="0"/>
              <w:bottom w:val="single" w:color="000000" w:sz="4" w:space="0"/>
              <w:right w:val="single" w:color="000000" w:sz="4" w:space="0"/>
            </w:tcBorders>
            <w:vAlign w:val="center"/>
          </w:tcPr>
          <w:p>
            <w:pPr>
              <w:jc w:val="center"/>
              <w:rPr>
                <w:rFonts w:asciiTheme="minorEastAsia" w:hAnsiTheme="minorEastAsia"/>
                <w:kern w:val="0"/>
                <w:szCs w:val="21"/>
                <w:lang w:eastAsia="en-US"/>
              </w:rPr>
            </w:pPr>
            <w:r>
              <w:rPr>
                <w:rFonts w:asciiTheme="minorEastAsia" w:hAnsiTheme="minorEastAsia"/>
                <w:kern w:val="0"/>
                <w:szCs w:val="21"/>
                <w:lang w:eastAsia="en-US"/>
              </w:rPr>
              <w:t>项目名称</w:t>
            </w:r>
          </w:p>
        </w:tc>
        <w:tc>
          <w:tcPr>
            <w:tcW w:w="4910" w:type="dxa"/>
            <w:tcBorders>
              <w:top w:val="single" w:color="000000" w:sz="4" w:space="0"/>
              <w:left w:val="single" w:color="000000" w:sz="4" w:space="0"/>
              <w:bottom w:val="single" w:color="000000" w:sz="4" w:space="0"/>
              <w:right w:val="single" w:color="000000" w:sz="4" w:space="0"/>
            </w:tcBorders>
            <w:vAlign w:val="center"/>
          </w:tcPr>
          <w:p>
            <w:pPr>
              <w:rPr>
                <w:rFonts w:asciiTheme="minorEastAsia" w:hAnsiTheme="minorEastAsia"/>
                <w:kern w:val="0"/>
                <w:szCs w:val="21"/>
                <w:lang w:eastAsia="zh-CN"/>
              </w:rPr>
            </w:pPr>
            <w:r>
              <w:rPr>
                <w:rFonts w:hint="eastAsia" w:asciiTheme="minorEastAsia" w:hAnsiTheme="minorEastAsia"/>
                <w:kern w:val="0"/>
                <w:szCs w:val="21"/>
                <w:lang w:eastAsia="zh-CN"/>
              </w:rPr>
              <w:t>郑州市蔬菜研究所“郑州市蔬菜研究所 科研楼”供配电工程（</w:t>
            </w:r>
            <w:r>
              <w:rPr>
                <w:rFonts w:hint="eastAsia" w:asciiTheme="minorEastAsia" w:hAnsiTheme="minorEastAsia"/>
                <w:kern w:val="0"/>
                <w:szCs w:val="21"/>
                <w:lang w:val="en-US" w:eastAsia="zh-CN"/>
              </w:rPr>
              <w:t>二次</w:t>
            </w:r>
            <w:r>
              <w:rPr>
                <w:rFonts w:hint="eastAsia" w:asciiTheme="minorEastAsia" w:hAnsiTheme="minorEastAsia"/>
                <w:kern w:val="0"/>
                <w:szCs w:val="21"/>
                <w:lang w:eastAsia="zh-CN"/>
              </w:rPr>
              <w:t>）</w:t>
            </w:r>
          </w:p>
        </w:tc>
      </w:tr>
      <w:tr>
        <w:tblPrEx>
          <w:tblCellMar>
            <w:top w:w="0" w:type="dxa"/>
            <w:left w:w="0" w:type="dxa"/>
            <w:bottom w:w="0" w:type="dxa"/>
            <w:right w:w="0" w:type="dxa"/>
          </w:tblCellMar>
        </w:tblPrEx>
        <w:tc>
          <w:tcPr>
            <w:tcW w:w="1038" w:type="dxa"/>
            <w:tcBorders>
              <w:top w:val="single" w:color="000000" w:sz="4" w:space="0"/>
              <w:left w:val="single" w:color="000000" w:sz="4" w:space="0"/>
              <w:bottom w:val="single" w:color="000000" w:sz="4" w:space="0"/>
              <w:right w:val="single" w:color="000000" w:sz="4" w:space="0"/>
            </w:tcBorders>
            <w:vAlign w:val="center"/>
          </w:tcPr>
          <w:p>
            <w:pPr>
              <w:jc w:val="center"/>
              <w:rPr>
                <w:rFonts w:asciiTheme="minorEastAsia" w:hAnsiTheme="minorEastAsia"/>
                <w:kern w:val="0"/>
                <w:szCs w:val="21"/>
                <w:lang w:eastAsia="en-US"/>
              </w:rPr>
            </w:pPr>
            <w:r>
              <w:rPr>
                <w:rFonts w:hint="eastAsia" w:asciiTheme="minorEastAsia" w:hAnsiTheme="minorEastAsia"/>
                <w:kern w:val="0"/>
                <w:szCs w:val="21"/>
                <w:lang w:eastAsia="en-US"/>
              </w:rPr>
              <w:t>1.1.5</w:t>
            </w:r>
          </w:p>
        </w:tc>
        <w:tc>
          <w:tcPr>
            <w:tcW w:w="2368" w:type="dxa"/>
            <w:tcBorders>
              <w:top w:val="single" w:color="000000" w:sz="4" w:space="0"/>
              <w:left w:val="single" w:color="000000" w:sz="4" w:space="0"/>
              <w:bottom w:val="single" w:color="000000" w:sz="4" w:space="0"/>
              <w:right w:val="single" w:color="000000" w:sz="4" w:space="0"/>
            </w:tcBorders>
            <w:vAlign w:val="center"/>
          </w:tcPr>
          <w:p>
            <w:pPr>
              <w:jc w:val="center"/>
              <w:rPr>
                <w:rFonts w:asciiTheme="minorEastAsia" w:hAnsiTheme="minorEastAsia"/>
                <w:kern w:val="0"/>
                <w:szCs w:val="21"/>
                <w:lang w:eastAsia="en-US"/>
              </w:rPr>
            </w:pPr>
            <w:r>
              <w:rPr>
                <w:rFonts w:hint="eastAsia" w:asciiTheme="minorEastAsia" w:hAnsiTheme="minorEastAsia"/>
                <w:kern w:val="0"/>
                <w:szCs w:val="21"/>
                <w:lang w:eastAsia="en-US"/>
              </w:rPr>
              <w:t>建设地点</w:t>
            </w:r>
          </w:p>
        </w:tc>
        <w:tc>
          <w:tcPr>
            <w:tcW w:w="4910" w:type="dxa"/>
            <w:tcBorders>
              <w:top w:val="single" w:color="000000" w:sz="4" w:space="0"/>
              <w:left w:val="single" w:color="000000" w:sz="4" w:space="0"/>
              <w:bottom w:val="single" w:color="000000" w:sz="4" w:space="0"/>
              <w:right w:val="single" w:color="000000" w:sz="4" w:space="0"/>
            </w:tcBorders>
            <w:vAlign w:val="center"/>
          </w:tcPr>
          <w:p>
            <w:pPr>
              <w:rPr>
                <w:rFonts w:asciiTheme="minorEastAsia" w:hAnsiTheme="minorEastAsia"/>
                <w:kern w:val="0"/>
                <w:szCs w:val="21"/>
                <w:lang w:eastAsia="zh-CN"/>
              </w:rPr>
            </w:pPr>
            <w:r>
              <w:rPr>
                <w:rFonts w:hint="eastAsia" w:asciiTheme="minorEastAsia" w:hAnsiTheme="minorEastAsia"/>
                <w:kern w:val="0"/>
                <w:szCs w:val="21"/>
                <w:lang w:eastAsia="zh-CN"/>
              </w:rPr>
              <w:t>郑州市</w:t>
            </w:r>
          </w:p>
        </w:tc>
      </w:tr>
      <w:tr>
        <w:tblPrEx>
          <w:tblCellMar>
            <w:top w:w="0" w:type="dxa"/>
            <w:left w:w="0" w:type="dxa"/>
            <w:bottom w:w="0" w:type="dxa"/>
            <w:right w:w="0" w:type="dxa"/>
          </w:tblCellMar>
        </w:tblPrEx>
        <w:tc>
          <w:tcPr>
            <w:tcW w:w="1038" w:type="dxa"/>
            <w:tcBorders>
              <w:top w:val="single" w:color="000000" w:sz="4" w:space="0"/>
              <w:left w:val="single" w:color="000000" w:sz="4" w:space="0"/>
              <w:bottom w:val="single" w:color="000000" w:sz="4" w:space="0"/>
              <w:right w:val="single" w:color="000000" w:sz="4" w:space="0"/>
            </w:tcBorders>
            <w:vAlign w:val="center"/>
          </w:tcPr>
          <w:p>
            <w:pPr>
              <w:jc w:val="center"/>
              <w:rPr>
                <w:rFonts w:asciiTheme="minorEastAsia" w:hAnsiTheme="minorEastAsia"/>
                <w:kern w:val="0"/>
                <w:szCs w:val="21"/>
                <w:lang w:eastAsia="en-US"/>
              </w:rPr>
            </w:pPr>
            <w:r>
              <w:rPr>
                <w:rFonts w:asciiTheme="minorEastAsia" w:hAnsiTheme="minorEastAsia"/>
                <w:kern w:val="0"/>
                <w:szCs w:val="21"/>
                <w:lang w:eastAsia="en-US"/>
              </w:rPr>
              <w:t>1.2.1</w:t>
            </w:r>
          </w:p>
        </w:tc>
        <w:tc>
          <w:tcPr>
            <w:tcW w:w="2368" w:type="dxa"/>
            <w:tcBorders>
              <w:top w:val="single" w:color="000000" w:sz="4" w:space="0"/>
              <w:left w:val="single" w:color="000000" w:sz="4" w:space="0"/>
              <w:bottom w:val="single" w:color="000000" w:sz="4" w:space="0"/>
              <w:right w:val="single" w:color="000000" w:sz="4" w:space="0"/>
            </w:tcBorders>
            <w:vAlign w:val="center"/>
          </w:tcPr>
          <w:p>
            <w:pPr>
              <w:jc w:val="center"/>
              <w:rPr>
                <w:rFonts w:asciiTheme="minorEastAsia" w:hAnsiTheme="minorEastAsia"/>
                <w:kern w:val="0"/>
                <w:szCs w:val="21"/>
                <w:lang w:eastAsia="en-US"/>
              </w:rPr>
            </w:pPr>
            <w:r>
              <w:rPr>
                <w:rFonts w:hint="eastAsia" w:asciiTheme="minorEastAsia" w:hAnsiTheme="minorEastAsia"/>
                <w:kern w:val="0"/>
                <w:szCs w:val="21"/>
                <w:lang w:eastAsia="en-US"/>
              </w:rPr>
              <w:t>项目预算金额</w:t>
            </w:r>
          </w:p>
        </w:tc>
        <w:tc>
          <w:tcPr>
            <w:tcW w:w="4910" w:type="dxa"/>
            <w:tcBorders>
              <w:top w:val="single" w:color="000000" w:sz="4" w:space="0"/>
              <w:left w:val="single" w:color="000000" w:sz="4" w:space="0"/>
              <w:bottom w:val="single" w:color="000000" w:sz="4" w:space="0"/>
              <w:right w:val="single" w:color="000000" w:sz="4" w:space="0"/>
            </w:tcBorders>
            <w:vAlign w:val="center"/>
          </w:tcPr>
          <w:p>
            <w:pPr>
              <w:rPr>
                <w:rFonts w:asciiTheme="minorEastAsia" w:hAnsiTheme="minorEastAsia"/>
                <w:kern w:val="0"/>
                <w:szCs w:val="21"/>
                <w:lang w:eastAsia="en-US"/>
              </w:rPr>
            </w:pPr>
            <w:r>
              <w:rPr>
                <w:rFonts w:hint="eastAsia" w:asciiTheme="minorEastAsia" w:hAnsiTheme="minorEastAsia"/>
                <w:kern w:val="0"/>
                <w:szCs w:val="21"/>
                <w:lang w:val="en-US" w:eastAsia="zh-CN"/>
              </w:rPr>
              <w:t>2650000.00</w:t>
            </w:r>
            <w:r>
              <w:rPr>
                <w:rFonts w:hint="eastAsia" w:asciiTheme="minorEastAsia" w:hAnsiTheme="minorEastAsia"/>
                <w:kern w:val="0"/>
                <w:szCs w:val="21"/>
                <w:lang w:eastAsia="en-US"/>
              </w:rPr>
              <w:t>元</w:t>
            </w:r>
          </w:p>
        </w:tc>
      </w:tr>
      <w:tr>
        <w:tblPrEx>
          <w:tblCellMar>
            <w:top w:w="0" w:type="dxa"/>
            <w:left w:w="0" w:type="dxa"/>
            <w:bottom w:w="0" w:type="dxa"/>
            <w:right w:w="0" w:type="dxa"/>
          </w:tblCellMar>
        </w:tblPrEx>
        <w:tc>
          <w:tcPr>
            <w:tcW w:w="1038" w:type="dxa"/>
            <w:tcBorders>
              <w:top w:val="single" w:color="000000" w:sz="4" w:space="0"/>
              <w:left w:val="single" w:color="000000" w:sz="4" w:space="0"/>
              <w:bottom w:val="single" w:color="000000" w:sz="4" w:space="0"/>
              <w:right w:val="single" w:color="000000" w:sz="4" w:space="0"/>
            </w:tcBorders>
            <w:vAlign w:val="center"/>
          </w:tcPr>
          <w:p>
            <w:pPr>
              <w:jc w:val="center"/>
              <w:rPr>
                <w:rFonts w:asciiTheme="minorEastAsia" w:hAnsiTheme="minorEastAsia"/>
                <w:kern w:val="0"/>
                <w:szCs w:val="21"/>
                <w:lang w:eastAsia="en-US"/>
              </w:rPr>
            </w:pPr>
            <w:r>
              <w:rPr>
                <w:rFonts w:asciiTheme="minorEastAsia" w:hAnsiTheme="minorEastAsia"/>
                <w:kern w:val="0"/>
                <w:szCs w:val="21"/>
                <w:lang w:eastAsia="en-US"/>
              </w:rPr>
              <w:t>1.2.2</w:t>
            </w:r>
          </w:p>
        </w:tc>
        <w:tc>
          <w:tcPr>
            <w:tcW w:w="2368" w:type="dxa"/>
            <w:tcBorders>
              <w:top w:val="single" w:color="000000" w:sz="4" w:space="0"/>
              <w:left w:val="single" w:color="000000" w:sz="4" w:space="0"/>
              <w:bottom w:val="single" w:color="000000" w:sz="4" w:space="0"/>
              <w:right w:val="single" w:color="000000" w:sz="4" w:space="0"/>
            </w:tcBorders>
            <w:vAlign w:val="center"/>
          </w:tcPr>
          <w:p>
            <w:pPr>
              <w:jc w:val="center"/>
              <w:rPr>
                <w:rFonts w:asciiTheme="minorEastAsia" w:hAnsiTheme="minorEastAsia"/>
                <w:kern w:val="0"/>
                <w:szCs w:val="21"/>
                <w:lang w:eastAsia="en-US"/>
              </w:rPr>
            </w:pPr>
            <w:r>
              <w:rPr>
                <w:rFonts w:asciiTheme="minorEastAsia" w:hAnsiTheme="minorEastAsia"/>
                <w:kern w:val="0"/>
                <w:szCs w:val="21"/>
                <w:lang w:eastAsia="en-US"/>
              </w:rPr>
              <w:t>资金落实情况</w:t>
            </w:r>
          </w:p>
        </w:tc>
        <w:tc>
          <w:tcPr>
            <w:tcW w:w="4910" w:type="dxa"/>
            <w:tcBorders>
              <w:top w:val="single" w:color="000000" w:sz="4" w:space="0"/>
              <w:left w:val="single" w:color="000000" w:sz="4" w:space="0"/>
              <w:bottom w:val="single" w:color="000000" w:sz="4" w:space="0"/>
              <w:right w:val="single" w:color="000000" w:sz="4" w:space="0"/>
            </w:tcBorders>
            <w:vAlign w:val="center"/>
          </w:tcPr>
          <w:p>
            <w:pPr>
              <w:rPr>
                <w:rFonts w:asciiTheme="minorEastAsia" w:hAnsiTheme="minorEastAsia"/>
                <w:kern w:val="0"/>
                <w:szCs w:val="21"/>
                <w:lang w:eastAsia="en-US"/>
              </w:rPr>
            </w:pPr>
            <w:r>
              <w:rPr>
                <w:rFonts w:hint="eastAsia" w:asciiTheme="minorEastAsia" w:hAnsiTheme="minorEastAsia"/>
                <w:kern w:val="0"/>
                <w:szCs w:val="21"/>
                <w:lang w:eastAsia="en-US"/>
              </w:rPr>
              <w:t>已落实</w:t>
            </w:r>
          </w:p>
        </w:tc>
      </w:tr>
      <w:tr>
        <w:tblPrEx>
          <w:tblCellMar>
            <w:top w:w="0" w:type="dxa"/>
            <w:left w:w="0" w:type="dxa"/>
            <w:bottom w:w="0" w:type="dxa"/>
            <w:right w:w="0" w:type="dxa"/>
          </w:tblCellMar>
        </w:tblPrEx>
        <w:tc>
          <w:tcPr>
            <w:tcW w:w="1038" w:type="dxa"/>
            <w:tcBorders>
              <w:top w:val="single" w:color="000000" w:sz="4" w:space="0"/>
              <w:left w:val="single" w:color="000000" w:sz="4" w:space="0"/>
              <w:bottom w:val="single" w:color="000000" w:sz="4" w:space="0"/>
              <w:right w:val="single" w:color="000000" w:sz="4" w:space="0"/>
            </w:tcBorders>
            <w:vAlign w:val="center"/>
          </w:tcPr>
          <w:p>
            <w:pPr>
              <w:jc w:val="center"/>
              <w:rPr>
                <w:rFonts w:asciiTheme="minorEastAsia" w:hAnsiTheme="minorEastAsia"/>
                <w:kern w:val="0"/>
                <w:szCs w:val="21"/>
                <w:lang w:eastAsia="en-US"/>
              </w:rPr>
            </w:pPr>
            <w:r>
              <w:rPr>
                <w:rFonts w:asciiTheme="minorEastAsia" w:hAnsiTheme="minorEastAsia"/>
                <w:kern w:val="0"/>
                <w:szCs w:val="21"/>
                <w:lang w:eastAsia="en-US"/>
              </w:rPr>
              <w:t>1.3.1</w:t>
            </w:r>
          </w:p>
        </w:tc>
        <w:tc>
          <w:tcPr>
            <w:tcW w:w="2368" w:type="dxa"/>
            <w:tcBorders>
              <w:top w:val="single" w:color="000000" w:sz="4" w:space="0"/>
              <w:left w:val="single" w:color="000000" w:sz="4" w:space="0"/>
              <w:bottom w:val="single" w:color="000000" w:sz="4" w:space="0"/>
              <w:right w:val="single" w:color="000000" w:sz="4" w:space="0"/>
            </w:tcBorders>
            <w:vAlign w:val="center"/>
          </w:tcPr>
          <w:p>
            <w:pPr>
              <w:jc w:val="center"/>
              <w:rPr>
                <w:rFonts w:asciiTheme="minorEastAsia" w:hAnsiTheme="minorEastAsia"/>
                <w:kern w:val="0"/>
                <w:szCs w:val="21"/>
                <w:lang w:eastAsia="en-US"/>
              </w:rPr>
            </w:pPr>
            <w:r>
              <w:rPr>
                <w:rFonts w:hint="eastAsia" w:asciiTheme="minorEastAsia" w:hAnsiTheme="minorEastAsia"/>
                <w:kern w:val="0"/>
                <w:szCs w:val="21"/>
                <w:lang w:eastAsia="en-US"/>
              </w:rPr>
              <w:t>磋商范围</w:t>
            </w:r>
          </w:p>
        </w:tc>
        <w:tc>
          <w:tcPr>
            <w:tcW w:w="4910" w:type="dxa"/>
            <w:tcBorders>
              <w:top w:val="single" w:color="000000" w:sz="4" w:space="0"/>
              <w:left w:val="single" w:color="000000" w:sz="4" w:space="0"/>
              <w:bottom w:val="single" w:color="000000" w:sz="4" w:space="0"/>
              <w:right w:val="single" w:color="000000" w:sz="4" w:space="0"/>
            </w:tcBorders>
            <w:vAlign w:val="center"/>
          </w:tcPr>
          <w:p>
            <w:pPr>
              <w:rPr>
                <w:rFonts w:asciiTheme="minorEastAsia" w:hAnsiTheme="minorEastAsia"/>
                <w:kern w:val="0"/>
                <w:szCs w:val="21"/>
                <w:lang w:eastAsia="zh-CN"/>
              </w:rPr>
            </w:pPr>
            <w:r>
              <w:rPr>
                <w:rFonts w:hint="eastAsia" w:asciiTheme="minorEastAsia" w:hAnsiTheme="minorEastAsia"/>
                <w:kern w:val="0"/>
                <w:szCs w:val="21"/>
                <w:lang w:eastAsia="zh-CN"/>
              </w:rPr>
              <w:t>竞争性磋商文件、答疑文件、工程量清单等全部内容</w:t>
            </w:r>
          </w:p>
        </w:tc>
      </w:tr>
      <w:tr>
        <w:tblPrEx>
          <w:tblCellMar>
            <w:top w:w="0" w:type="dxa"/>
            <w:left w:w="0" w:type="dxa"/>
            <w:bottom w:w="0" w:type="dxa"/>
            <w:right w:w="0" w:type="dxa"/>
          </w:tblCellMar>
        </w:tblPrEx>
        <w:trPr>
          <w:trHeight w:val="200" w:hRule="atLeast"/>
        </w:trPr>
        <w:tc>
          <w:tcPr>
            <w:tcW w:w="1038" w:type="dxa"/>
            <w:tcBorders>
              <w:top w:val="single" w:color="000000" w:sz="4" w:space="0"/>
              <w:left w:val="single" w:color="000000" w:sz="4" w:space="0"/>
              <w:bottom w:val="single" w:color="000000" w:sz="4" w:space="0"/>
              <w:right w:val="single" w:color="000000" w:sz="4" w:space="0"/>
            </w:tcBorders>
            <w:vAlign w:val="center"/>
          </w:tcPr>
          <w:p>
            <w:pPr>
              <w:jc w:val="center"/>
              <w:rPr>
                <w:rFonts w:asciiTheme="minorEastAsia" w:hAnsiTheme="minorEastAsia"/>
                <w:kern w:val="0"/>
                <w:szCs w:val="21"/>
                <w:lang w:eastAsia="en-US"/>
              </w:rPr>
            </w:pPr>
            <w:r>
              <w:rPr>
                <w:rFonts w:asciiTheme="minorEastAsia" w:hAnsiTheme="minorEastAsia"/>
                <w:kern w:val="0"/>
                <w:szCs w:val="21"/>
                <w:lang w:eastAsia="en-US"/>
              </w:rPr>
              <w:t>1.3.2</w:t>
            </w:r>
          </w:p>
        </w:tc>
        <w:tc>
          <w:tcPr>
            <w:tcW w:w="2368" w:type="dxa"/>
            <w:tcBorders>
              <w:top w:val="single" w:color="000000" w:sz="4" w:space="0"/>
              <w:left w:val="single" w:color="000000" w:sz="4" w:space="0"/>
              <w:bottom w:val="single" w:color="000000" w:sz="4" w:space="0"/>
              <w:right w:val="single" w:color="000000" w:sz="4" w:space="0"/>
            </w:tcBorders>
            <w:vAlign w:val="center"/>
          </w:tcPr>
          <w:p>
            <w:pPr>
              <w:jc w:val="center"/>
              <w:rPr>
                <w:rFonts w:asciiTheme="minorEastAsia" w:hAnsiTheme="minorEastAsia"/>
                <w:color w:val="FF0000"/>
                <w:kern w:val="0"/>
                <w:szCs w:val="21"/>
                <w:lang w:eastAsia="en-US"/>
              </w:rPr>
            </w:pPr>
            <w:r>
              <w:rPr>
                <w:rFonts w:hint="eastAsia" w:asciiTheme="minorEastAsia" w:hAnsiTheme="minorEastAsia"/>
                <w:color w:val="FF0000"/>
                <w:kern w:val="0"/>
                <w:szCs w:val="21"/>
                <w:lang w:eastAsia="en-US"/>
              </w:rPr>
              <w:t>计划工期</w:t>
            </w:r>
          </w:p>
        </w:tc>
        <w:tc>
          <w:tcPr>
            <w:tcW w:w="4910" w:type="dxa"/>
            <w:tcBorders>
              <w:top w:val="single" w:color="000000" w:sz="4" w:space="0"/>
              <w:left w:val="single" w:color="000000" w:sz="4" w:space="0"/>
              <w:bottom w:val="single" w:color="000000" w:sz="4" w:space="0"/>
              <w:right w:val="single" w:color="000000" w:sz="4" w:space="0"/>
            </w:tcBorders>
            <w:vAlign w:val="center"/>
          </w:tcPr>
          <w:p>
            <w:pPr>
              <w:rPr>
                <w:rFonts w:asciiTheme="minorEastAsia" w:hAnsiTheme="minorEastAsia"/>
                <w:color w:val="FF0000"/>
                <w:kern w:val="0"/>
                <w:szCs w:val="21"/>
                <w:lang w:eastAsia="zh-CN"/>
              </w:rPr>
            </w:pPr>
            <w:r>
              <w:rPr>
                <w:rFonts w:hint="eastAsia" w:asciiTheme="minorEastAsia" w:hAnsiTheme="minorEastAsia"/>
                <w:color w:val="FF0000"/>
                <w:kern w:val="0"/>
                <w:szCs w:val="21"/>
                <w:lang w:val="en-US" w:eastAsia="zh-CN"/>
              </w:rPr>
              <w:t>90</w:t>
            </w:r>
            <w:r>
              <w:rPr>
                <w:rFonts w:hint="eastAsia" w:asciiTheme="minorEastAsia" w:hAnsiTheme="minorEastAsia"/>
                <w:color w:val="FF0000"/>
                <w:kern w:val="0"/>
                <w:szCs w:val="21"/>
                <w:lang w:eastAsia="zh-CN"/>
              </w:rPr>
              <w:t>日历天</w:t>
            </w:r>
          </w:p>
        </w:tc>
      </w:tr>
      <w:tr>
        <w:tblPrEx>
          <w:tblCellMar>
            <w:top w:w="0" w:type="dxa"/>
            <w:left w:w="0" w:type="dxa"/>
            <w:bottom w:w="0" w:type="dxa"/>
            <w:right w:w="0" w:type="dxa"/>
          </w:tblCellMar>
        </w:tblPrEx>
        <w:tc>
          <w:tcPr>
            <w:tcW w:w="1038" w:type="dxa"/>
            <w:tcBorders>
              <w:top w:val="single" w:color="000000" w:sz="4" w:space="0"/>
              <w:left w:val="single" w:color="000000" w:sz="4" w:space="0"/>
              <w:bottom w:val="single" w:color="000000" w:sz="4" w:space="0"/>
              <w:right w:val="single" w:color="000000" w:sz="4" w:space="0"/>
            </w:tcBorders>
            <w:vAlign w:val="center"/>
          </w:tcPr>
          <w:p>
            <w:pPr>
              <w:jc w:val="center"/>
              <w:rPr>
                <w:rFonts w:asciiTheme="minorEastAsia" w:hAnsiTheme="minorEastAsia"/>
                <w:kern w:val="0"/>
                <w:szCs w:val="21"/>
                <w:lang w:eastAsia="en-US"/>
              </w:rPr>
            </w:pPr>
            <w:r>
              <w:rPr>
                <w:rFonts w:hint="eastAsia" w:asciiTheme="minorEastAsia" w:hAnsiTheme="minorEastAsia"/>
                <w:kern w:val="0"/>
                <w:szCs w:val="21"/>
                <w:lang w:eastAsia="en-US"/>
              </w:rPr>
              <w:t>1.3.3</w:t>
            </w:r>
          </w:p>
        </w:tc>
        <w:tc>
          <w:tcPr>
            <w:tcW w:w="2368" w:type="dxa"/>
            <w:tcBorders>
              <w:top w:val="single" w:color="000000" w:sz="4" w:space="0"/>
              <w:left w:val="single" w:color="000000" w:sz="4" w:space="0"/>
              <w:bottom w:val="single" w:color="000000" w:sz="4" w:space="0"/>
              <w:right w:val="single" w:color="000000" w:sz="4" w:space="0"/>
            </w:tcBorders>
            <w:vAlign w:val="center"/>
          </w:tcPr>
          <w:p>
            <w:pPr>
              <w:jc w:val="center"/>
              <w:rPr>
                <w:rFonts w:asciiTheme="minorEastAsia" w:hAnsiTheme="minorEastAsia"/>
                <w:kern w:val="0"/>
                <w:szCs w:val="21"/>
                <w:lang w:eastAsia="en-US"/>
              </w:rPr>
            </w:pPr>
            <w:r>
              <w:rPr>
                <w:rFonts w:hint="eastAsia" w:asciiTheme="minorEastAsia" w:hAnsiTheme="minorEastAsia"/>
                <w:kern w:val="0"/>
                <w:szCs w:val="21"/>
                <w:lang w:eastAsia="en-US"/>
              </w:rPr>
              <w:t>质量要求</w:t>
            </w:r>
          </w:p>
        </w:tc>
        <w:tc>
          <w:tcPr>
            <w:tcW w:w="4910" w:type="dxa"/>
            <w:tcBorders>
              <w:top w:val="single" w:color="000000" w:sz="4" w:space="0"/>
              <w:left w:val="single" w:color="000000" w:sz="4" w:space="0"/>
              <w:bottom w:val="single" w:color="000000" w:sz="4" w:space="0"/>
              <w:right w:val="single" w:color="000000" w:sz="4" w:space="0"/>
            </w:tcBorders>
            <w:vAlign w:val="center"/>
          </w:tcPr>
          <w:p>
            <w:pPr>
              <w:rPr>
                <w:rFonts w:asciiTheme="minorEastAsia" w:hAnsiTheme="minorEastAsia"/>
                <w:kern w:val="0"/>
                <w:szCs w:val="21"/>
                <w:lang w:eastAsia="en-US"/>
              </w:rPr>
            </w:pPr>
            <w:r>
              <w:rPr>
                <w:rFonts w:hint="eastAsia" w:cs="宋体" w:asciiTheme="minorEastAsia" w:hAnsiTheme="minorEastAsia"/>
                <w:kern w:val="0"/>
                <w:szCs w:val="21"/>
                <w:lang w:val="zh-CN" w:eastAsia="en-US"/>
              </w:rPr>
              <w:t>合格</w:t>
            </w:r>
          </w:p>
        </w:tc>
      </w:tr>
      <w:tr>
        <w:tblPrEx>
          <w:tblCellMar>
            <w:top w:w="0" w:type="dxa"/>
            <w:left w:w="0" w:type="dxa"/>
            <w:bottom w:w="0" w:type="dxa"/>
            <w:right w:w="0" w:type="dxa"/>
          </w:tblCellMar>
        </w:tblPrEx>
        <w:tc>
          <w:tcPr>
            <w:tcW w:w="1038" w:type="dxa"/>
            <w:tcBorders>
              <w:top w:val="single" w:color="000000" w:sz="4" w:space="0"/>
              <w:left w:val="single" w:color="000000" w:sz="4" w:space="0"/>
              <w:bottom w:val="single" w:color="000000" w:sz="4" w:space="0"/>
              <w:right w:val="single" w:color="000000" w:sz="4" w:space="0"/>
            </w:tcBorders>
            <w:vAlign w:val="center"/>
          </w:tcPr>
          <w:p>
            <w:pPr>
              <w:jc w:val="center"/>
              <w:rPr>
                <w:rFonts w:asciiTheme="minorEastAsia" w:hAnsiTheme="minorEastAsia"/>
                <w:kern w:val="0"/>
                <w:szCs w:val="21"/>
                <w:lang w:eastAsia="en-US"/>
              </w:rPr>
            </w:pPr>
            <w:r>
              <w:rPr>
                <w:rFonts w:asciiTheme="minorEastAsia" w:hAnsiTheme="minorEastAsia"/>
                <w:kern w:val="0"/>
                <w:szCs w:val="21"/>
                <w:lang w:eastAsia="en-US"/>
              </w:rPr>
              <w:t>1.4.1</w:t>
            </w:r>
          </w:p>
        </w:tc>
        <w:tc>
          <w:tcPr>
            <w:tcW w:w="2368" w:type="dxa"/>
            <w:tcBorders>
              <w:top w:val="single" w:color="000000" w:sz="4" w:space="0"/>
              <w:left w:val="single" w:color="000000" w:sz="4" w:space="0"/>
              <w:bottom w:val="single" w:color="000000" w:sz="4" w:space="0"/>
              <w:right w:val="single" w:color="000000" w:sz="4" w:space="0"/>
            </w:tcBorders>
            <w:vAlign w:val="center"/>
          </w:tcPr>
          <w:p>
            <w:pPr>
              <w:jc w:val="center"/>
              <w:rPr>
                <w:rFonts w:asciiTheme="minorEastAsia" w:hAnsiTheme="minorEastAsia"/>
                <w:kern w:val="0"/>
                <w:szCs w:val="21"/>
                <w:lang w:eastAsia="en-US"/>
              </w:rPr>
            </w:pPr>
            <w:r>
              <w:rPr>
                <w:rFonts w:hint="eastAsia" w:asciiTheme="minorEastAsia" w:hAnsiTheme="minorEastAsia"/>
                <w:kern w:val="0"/>
                <w:szCs w:val="21"/>
                <w:lang w:eastAsia="zh-CN"/>
              </w:rPr>
              <w:t>响应人</w:t>
            </w:r>
            <w:r>
              <w:rPr>
                <w:rFonts w:hint="eastAsia" w:asciiTheme="minorEastAsia" w:hAnsiTheme="minorEastAsia"/>
                <w:kern w:val="0"/>
                <w:szCs w:val="21"/>
                <w:lang w:eastAsia="en-US"/>
              </w:rPr>
              <w:t>资格要求</w:t>
            </w:r>
          </w:p>
        </w:tc>
        <w:tc>
          <w:tcPr>
            <w:tcW w:w="4910" w:type="dxa"/>
            <w:tcBorders>
              <w:top w:val="single" w:color="000000" w:sz="4" w:space="0"/>
              <w:left w:val="single" w:color="000000" w:sz="4" w:space="0"/>
              <w:bottom w:val="single" w:color="000000" w:sz="4" w:space="0"/>
              <w:right w:val="single" w:color="000000" w:sz="4" w:space="0"/>
            </w:tcBorders>
            <w:vAlign w:val="center"/>
          </w:tcPr>
          <w:p>
            <w:pPr>
              <w:rPr>
                <w:rFonts w:asciiTheme="minorEastAsia" w:hAnsiTheme="minorEastAsia"/>
                <w:kern w:val="0"/>
                <w:szCs w:val="21"/>
                <w:lang w:eastAsia="zh-CN"/>
              </w:rPr>
            </w:pPr>
            <w:r>
              <w:rPr>
                <w:rFonts w:hint="eastAsia" w:asciiTheme="minorEastAsia" w:hAnsiTheme="minorEastAsia"/>
                <w:kern w:val="0"/>
                <w:szCs w:val="21"/>
                <w:lang w:eastAsia="zh-CN"/>
              </w:rPr>
              <w:t>1.参加本次磋商的响应人必须符合《中华人民共和国政府采购法》第二十二条所规定的条件：</w:t>
            </w:r>
          </w:p>
          <w:p>
            <w:pPr>
              <w:rPr>
                <w:rFonts w:asciiTheme="minorEastAsia" w:hAnsiTheme="minorEastAsia"/>
                <w:kern w:val="0"/>
                <w:szCs w:val="21"/>
                <w:lang w:eastAsia="zh-CN"/>
              </w:rPr>
            </w:pPr>
            <w:r>
              <w:rPr>
                <w:rFonts w:hint="eastAsia" w:asciiTheme="minorEastAsia" w:hAnsiTheme="minorEastAsia"/>
                <w:kern w:val="0"/>
                <w:szCs w:val="21"/>
                <w:lang w:eastAsia="zh-CN"/>
              </w:rPr>
              <w:t>1.1具有独立承担民事责任的能力；</w:t>
            </w:r>
          </w:p>
          <w:p>
            <w:pPr>
              <w:rPr>
                <w:rFonts w:asciiTheme="minorEastAsia" w:hAnsiTheme="minorEastAsia"/>
                <w:kern w:val="0"/>
                <w:szCs w:val="21"/>
                <w:lang w:eastAsia="zh-CN"/>
              </w:rPr>
            </w:pPr>
            <w:r>
              <w:rPr>
                <w:rFonts w:hint="eastAsia" w:asciiTheme="minorEastAsia" w:hAnsiTheme="minorEastAsia"/>
                <w:kern w:val="0"/>
                <w:szCs w:val="21"/>
                <w:lang w:eastAsia="zh-CN"/>
              </w:rPr>
              <w:t>1.2具有良好的商业信誉和健全的财务会计制度；</w:t>
            </w:r>
          </w:p>
          <w:p>
            <w:pPr>
              <w:rPr>
                <w:rFonts w:asciiTheme="minorEastAsia" w:hAnsiTheme="minorEastAsia"/>
                <w:kern w:val="0"/>
                <w:szCs w:val="21"/>
                <w:lang w:eastAsia="zh-CN"/>
              </w:rPr>
            </w:pPr>
            <w:r>
              <w:rPr>
                <w:rFonts w:hint="eastAsia" w:asciiTheme="minorEastAsia" w:hAnsiTheme="minorEastAsia"/>
                <w:kern w:val="0"/>
                <w:szCs w:val="21"/>
                <w:lang w:eastAsia="zh-CN"/>
              </w:rPr>
              <w:t>1.3具有履行合同所必需的设备和专业技术能力；</w:t>
            </w:r>
          </w:p>
          <w:p>
            <w:pPr>
              <w:rPr>
                <w:rFonts w:asciiTheme="minorEastAsia" w:hAnsiTheme="minorEastAsia"/>
                <w:kern w:val="0"/>
                <w:szCs w:val="21"/>
                <w:lang w:eastAsia="zh-CN"/>
              </w:rPr>
            </w:pPr>
            <w:r>
              <w:rPr>
                <w:rFonts w:hint="eastAsia" w:asciiTheme="minorEastAsia" w:hAnsiTheme="minorEastAsia"/>
                <w:kern w:val="0"/>
                <w:szCs w:val="21"/>
                <w:lang w:eastAsia="zh-CN"/>
              </w:rPr>
              <w:t>1.4有依法缴纳税收和社会保障资金的良好记录；</w:t>
            </w:r>
          </w:p>
          <w:p>
            <w:pPr>
              <w:rPr>
                <w:rFonts w:asciiTheme="minorEastAsia" w:hAnsiTheme="minorEastAsia"/>
                <w:kern w:val="0"/>
                <w:szCs w:val="21"/>
                <w:lang w:eastAsia="zh-CN"/>
              </w:rPr>
            </w:pPr>
            <w:r>
              <w:rPr>
                <w:rFonts w:hint="eastAsia" w:asciiTheme="minorEastAsia" w:hAnsiTheme="minorEastAsia"/>
                <w:kern w:val="0"/>
                <w:szCs w:val="21"/>
                <w:lang w:eastAsia="zh-CN"/>
              </w:rPr>
              <w:t>1.5参加政府采购活动前三年内，在经营活动中没有重大违法记录；</w:t>
            </w:r>
          </w:p>
          <w:p>
            <w:pPr>
              <w:numPr>
                <w:ilvl w:val="0"/>
                <w:numId w:val="2"/>
              </w:numPr>
              <w:rPr>
                <w:rFonts w:hint="eastAsia" w:asciiTheme="minorEastAsia" w:hAnsiTheme="minorEastAsia"/>
                <w:kern w:val="0"/>
                <w:szCs w:val="21"/>
                <w:lang w:eastAsia="zh-CN"/>
              </w:rPr>
            </w:pPr>
            <w:r>
              <w:rPr>
                <w:rFonts w:hint="eastAsia" w:asciiTheme="minorEastAsia" w:hAnsiTheme="minorEastAsia"/>
                <w:kern w:val="0"/>
                <w:szCs w:val="21"/>
                <w:lang w:eastAsia="zh-CN"/>
              </w:rPr>
              <w:t>投标人应具有承装（修、试）电力设施许可证均为四级及以上资质或输变电工程专业承包三级及以上资质或电力工程施工总承包三级及以上资质</w:t>
            </w:r>
          </w:p>
          <w:p>
            <w:pPr>
              <w:numPr>
                <w:ilvl w:val="0"/>
                <w:numId w:val="0"/>
              </w:numPr>
              <w:rPr>
                <w:rFonts w:hint="eastAsia" w:asciiTheme="minorEastAsia" w:hAnsiTheme="minorEastAsia"/>
                <w:kern w:val="0"/>
                <w:szCs w:val="21"/>
                <w:lang w:eastAsia="zh-CN"/>
              </w:rPr>
            </w:pPr>
            <w:r>
              <w:rPr>
                <w:rFonts w:hint="eastAsia" w:asciiTheme="minorEastAsia" w:hAnsiTheme="minorEastAsia"/>
                <w:kern w:val="0"/>
                <w:szCs w:val="21"/>
                <w:lang w:eastAsia="zh-CN"/>
              </w:rPr>
              <w:t>3、投标人至少配备1名项目经理，项目经理须取得建造师、安全员证书（B类）；具备有效的安全生产考核合格证书，且未担任其他在施建设工程项目；</w:t>
            </w:r>
          </w:p>
          <w:p>
            <w:pPr>
              <w:rPr>
                <w:rFonts w:hint="eastAsia" w:asciiTheme="minorEastAsia" w:hAnsiTheme="minorEastAsia"/>
                <w:kern w:val="0"/>
                <w:szCs w:val="21"/>
                <w:lang w:eastAsia="zh-CN"/>
              </w:rPr>
            </w:pPr>
            <w:r>
              <w:rPr>
                <w:rFonts w:hint="eastAsia" w:asciiTheme="minorEastAsia" w:hAnsiTheme="minorEastAsia"/>
                <w:kern w:val="0"/>
                <w:szCs w:val="21"/>
                <w:lang w:eastAsia="zh-CN"/>
              </w:rPr>
              <w:t>投标人至少配置1个施工队伍，施工队伍人数不少于5人，且至少配备1名专职安全员，安全员须取得安全员证书（C类）；具有电工进网许可证或电工作业操作证（其中高压不低于4人），且在投标人处注册。</w:t>
            </w:r>
          </w:p>
          <w:p>
            <w:pPr>
              <w:rPr>
                <w:rFonts w:hint="eastAsia" w:asciiTheme="minorEastAsia" w:hAnsiTheme="minorEastAsia"/>
                <w:color w:val="auto"/>
                <w:kern w:val="0"/>
                <w:szCs w:val="21"/>
                <w:lang w:eastAsia="zh-CN"/>
              </w:rPr>
            </w:pPr>
            <w:r>
              <w:rPr>
                <w:rFonts w:hint="eastAsia" w:asciiTheme="minorEastAsia" w:hAnsiTheme="minorEastAsia"/>
                <w:kern w:val="0"/>
                <w:szCs w:val="21"/>
                <w:lang w:val="en-US" w:eastAsia="zh-CN"/>
              </w:rPr>
              <w:t>4</w:t>
            </w:r>
            <w:r>
              <w:rPr>
                <w:rFonts w:hint="eastAsia" w:asciiTheme="minorEastAsia" w:hAnsiTheme="minorEastAsia"/>
                <w:kern w:val="0"/>
                <w:szCs w:val="21"/>
                <w:lang w:eastAsia="zh-CN"/>
              </w:rPr>
              <w:t>、</w:t>
            </w:r>
            <w:r>
              <w:rPr>
                <w:rFonts w:hint="eastAsia" w:asciiTheme="minorEastAsia" w:hAnsiTheme="minorEastAsia"/>
                <w:color w:val="auto"/>
                <w:kern w:val="0"/>
                <w:szCs w:val="21"/>
                <w:lang w:eastAsia="zh-CN"/>
              </w:rPr>
              <w:t>投标人2017年1月1日至今至少完成单合同金额300万以上的外电引入相关案例2个。</w:t>
            </w:r>
          </w:p>
          <w:p>
            <w:pPr>
              <w:rPr>
                <w:rFonts w:hint="eastAsia" w:asciiTheme="minorEastAsia" w:hAnsiTheme="minorEastAsia"/>
                <w:kern w:val="0"/>
                <w:szCs w:val="21"/>
                <w:lang w:eastAsia="zh-CN"/>
              </w:rPr>
            </w:pPr>
            <w:r>
              <w:rPr>
                <w:rFonts w:hint="eastAsia" w:asciiTheme="minorEastAsia" w:hAnsiTheme="minorEastAsia"/>
                <w:kern w:val="0"/>
                <w:szCs w:val="21"/>
                <w:lang w:val="en-US" w:eastAsia="zh-CN"/>
              </w:rPr>
              <w:t>5</w:t>
            </w:r>
            <w:r>
              <w:rPr>
                <w:rFonts w:hint="eastAsia" w:asciiTheme="minorEastAsia" w:hAnsiTheme="minorEastAsia"/>
                <w:kern w:val="0"/>
                <w:szCs w:val="21"/>
                <w:lang w:eastAsia="zh-CN"/>
              </w:rPr>
              <w:t>、根据《关于在政府采购活动中查询及使用信用记录有关问题的通知》(财库[2016]125号) 和豫财购【2016】15号的规定，对列入失信被执行人、重大税收违法案件当事人名单、政府采购严重违法失信行为记录名单的响应人，拒绝参与本项目政府采购活动；【查询渠道：在 “信用中国”网站中查询“失信被执行人”和 “重大税收违法案件当事人名单”（http://www.creditchina.gov.cn/），在“中国政府采购网”网站中查询“政府采购严重违法失信行为记录名单” （www.ccgp.gov.cn）。】；6.6本项目不接受联合体投标；</w:t>
            </w:r>
          </w:p>
          <w:p>
            <w:pPr>
              <w:rPr>
                <w:rFonts w:hint="eastAsia" w:asciiTheme="minorEastAsia" w:hAnsiTheme="minorEastAsia"/>
                <w:kern w:val="0"/>
                <w:szCs w:val="21"/>
                <w:lang w:eastAsia="zh-CN"/>
              </w:rPr>
            </w:pPr>
            <w:r>
              <w:rPr>
                <w:rFonts w:hint="eastAsia" w:asciiTheme="minorEastAsia" w:hAnsiTheme="minorEastAsia"/>
                <w:kern w:val="0"/>
                <w:szCs w:val="21"/>
                <w:lang w:val="en-US" w:eastAsia="zh-CN"/>
              </w:rPr>
              <w:t>6、</w:t>
            </w:r>
            <w:r>
              <w:rPr>
                <w:rFonts w:hint="eastAsia" w:asciiTheme="minorEastAsia" w:hAnsiTheme="minorEastAsia"/>
                <w:kern w:val="0"/>
                <w:szCs w:val="21"/>
                <w:lang w:eastAsia="zh-CN"/>
              </w:rPr>
              <w:t>单位负责人为同一人或者存在直接控股、管理关系的不同响应人，不得参加同一合同项下的政府采购活动；</w:t>
            </w:r>
          </w:p>
          <w:p>
            <w:pPr>
              <w:rPr>
                <w:rFonts w:asciiTheme="minorEastAsia" w:hAnsiTheme="minorEastAsia"/>
                <w:kern w:val="0"/>
                <w:szCs w:val="21"/>
                <w:lang w:eastAsia="zh-CN"/>
              </w:rPr>
            </w:pPr>
            <w:r>
              <w:rPr>
                <w:rFonts w:hint="eastAsia" w:asciiTheme="minorEastAsia" w:hAnsiTheme="minorEastAsia"/>
                <w:kern w:val="0"/>
                <w:szCs w:val="21"/>
                <w:lang w:val="en-US" w:eastAsia="zh-CN"/>
              </w:rPr>
              <w:t>7、</w:t>
            </w:r>
            <w:r>
              <w:rPr>
                <w:rFonts w:hint="eastAsia" w:asciiTheme="minorEastAsia" w:hAnsiTheme="minorEastAsia"/>
                <w:kern w:val="0"/>
                <w:szCs w:val="21"/>
                <w:lang w:eastAsia="zh-CN"/>
              </w:rPr>
              <w:t>法律、行政法规规定的其他条件。</w:t>
            </w:r>
          </w:p>
        </w:tc>
      </w:tr>
      <w:tr>
        <w:tblPrEx>
          <w:tblCellMar>
            <w:top w:w="0" w:type="dxa"/>
            <w:left w:w="0" w:type="dxa"/>
            <w:bottom w:w="0" w:type="dxa"/>
            <w:right w:w="0" w:type="dxa"/>
          </w:tblCellMar>
        </w:tblPrEx>
        <w:tc>
          <w:tcPr>
            <w:tcW w:w="1038" w:type="dxa"/>
            <w:tcBorders>
              <w:top w:val="single" w:color="000000" w:sz="4" w:space="0"/>
              <w:left w:val="single" w:color="000000" w:sz="4" w:space="0"/>
              <w:bottom w:val="single" w:color="000000" w:sz="4" w:space="0"/>
              <w:right w:val="single" w:color="000000" w:sz="4" w:space="0"/>
            </w:tcBorders>
            <w:vAlign w:val="center"/>
          </w:tcPr>
          <w:p>
            <w:pPr>
              <w:jc w:val="center"/>
              <w:rPr>
                <w:rFonts w:asciiTheme="minorEastAsia" w:hAnsiTheme="minorEastAsia"/>
                <w:kern w:val="0"/>
                <w:szCs w:val="21"/>
                <w:lang w:eastAsia="en-US"/>
              </w:rPr>
            </w:pPr>
            <w:r>
              <w:rPr>
                <w:rFonts w:asciiTheme="minorEastAsia" w:hAnsiTheme="minorEastAsia"/>
                <w:kern w:val="0"/>
                <w:szCs w:val="21"/>
                <w:lang w:eastAsia="en-US"/>
              </w:rPr>
              <w:t>1.4.2</w:t>
            </w:r>
          </w:p>
        </w:tc>
        <w:tc>
          <w:tcPr>
            <w:tcW w:w="2368" w:type="dxa"/>
            <w:tcBorders>
              <w:top w:val="single" w:color="000000" w:sz="4" w:space="0"/>
              <w:left w:val="single" w:color="000000" w:sz="4" w:space="0"/>
              <w:bottom w:val="single" w:color="000000" w:sz="4" w:space="0"/>
              <w:right w:val="single" w:color="000000" w:sz="4" w:space="0"/>
            </w:tcBorders>
            <w:vAlign w:val="center"/>
          </w:tcPr>
          <w:p>
            <w:pPr>
              <w:jc w:val="center"/>
              <w:rPr>
                <w:rFonts w:asciiTheme="minorEastAsia" w:hAnsiTheme="minorEastAsia"/>
                <w:kern w:val="0"/>
                <w:szCs w:val="21"/>
                <w:lang w:eastAsia="en-US"/>
              </w:rPr>
            </w:pPr>
            <w:r>
              <w:rPr>
                <w:rFonts w:asciiTheme="minorEastAsia" w:hAnsiTheme="minorEastAsia"/>
                <w:kern w:val="0"/>
                <w:szCs w:val="21"/>
                <w:lang w:eastAsia="en-US"/>
              </w:rPr>
              <w:t>是否接受联合体</w:t>
            </w:r>
            <w:r>
              <w:rPr>
                <w:rFonts w:hint="eastAsia" w:asciiTheme="minorEastAsia" w:hAnsiTheme="minorEastAsia"/>
                <w:kern w:val="0"/>
                <w:szCs w:val="21"/>
                <w:lang w:eastAsia="en-US"/>
              </w:rPr>
              <w:t>磋商</w:t>
            </w:r>
          </w:p>
        </w:tc>
        <w:tc>
          <w:tcPr>
            <w:tcW w:w="4910" w:type="dxa"/>
            <w:tcBorders>
              <w:top w:val="single" w:color="000000" w:sz="4" w:space="0"/>
              <w:left w:val="single" w:color="000000" w:sz="4" w:space="0"/>
              <w:bottom w:val="single" w:color="000000" w:sz="4" w:space="0"/>
              <w:right w:val="single" w:color="000000" w:sz="4" w:space="0"/>
            </w:tcBorders>
            <w:vAlign w:val="center"/>
          </w:tcPr>
          <w:p>
            <w:pPr>
              <w:rPr>
                <w:rFonts w:asciiTheme="minorEastAsia" w:hAnsiTheme="minorEastAsia"/>
                <w:kern w:val="0"/>
                <w:szCs w:val="21"/>
                <w:lang w:eastAsia="en-US"/>
              </w:rPr>
            </w:pPr>
            <w:r>
              <w:rPr>
                <w:rFonts w:asciiTheme="minorEastAsia" w:hAnsiTheme="minorEastAsia"/>
                <w:kern w:val="0"/>
                <w:szCs w:val="21"/>
                <w:lang w:eastAsia="en-US"/>
              </w:rPr>
              <w:t>不接受</w:t>
            </w:r>
          </w:p>
        </w:tc>
      </w:tr>
      <w:tr>
        <w:tblPrEx>
          <w:tblCellMar>
            <w:top w:w="0" w:type="dxa"/>
            <w:left w:w="0" w:type="dxa"/>
            <w:bottom w:w="0" w:type="dxa"/>
            <w:right w:w="0" w:type="dxa"/>
          </w:tblCellMar>
        </w:tblPrEx>
        <w:tc>
          <w:tcPr>
            <w:tcW w:w="1038" w:type="dxa"/>
            <w:tcBorders>
              <w:top w:val="single" w:color="000000" w:sz="4" w:space="0"/>
              <w:left w:val="single" w:color="000000" w:sz="4" w:space="0"/>
              <w:bottom w:val="single" w:color="000000" w:sz="4" w:space="0"/>
              <w:right w:val="single" w:color="000000" w:sz="4" w:space="0"/>
            </w:tcBorders>
            <w:vAlign w:val="center"/>
          </w:tcPr>
          <w:p>
            <w:pPr>
              <w:jc w:val="center"/>
              <w:rPr>
                <w:rFonts w:asciiTheme="minorEastAsia" w:hAnsiTheme="minorEastAsia"/>
                <w:kern w:val="0"/>
                <w:szCs w:val="21"/>
                <w:lang w:eastAsia="en-US"/>
              </w:rPr>
            </w:pPr>
            <w:r>
              <w:rPr>
                <w:rFonts w:asciiTheme="minorEastAsia" w:hAnsiTheme="minorEastAsia"/>
                <w:kern w:val="0"/>
                <w:szCs w:val="21"/>
                <w:lang w:eastAsia="en-US"/>
              </w:rPr>
              <w:t>1.9.1</w:t>
            </w:r>
          </w:p>
        </w:tc>
        <w:tc>
          <w:tcPr>
            <w:tcW w:w="2368" w:type="dxa"/>
            <w:tcBorders>
              <w:top w:val="single" w:color="000000" w:sz="4" w:space="0"/>
              <w:left w:val="single" w:color="000000" w:sz="4" w:space="0"/>
              <w:bottom w:val="single" w:color="000000" w:sz="4" w:space="0"/>
              <w:right w:val="single" w:color="000000" w:sz="4" w:space="0"/>
            </w:tcBorders>
            <w:vAlign w:val="center"/>
          </w:tcPr>
          <w:p>
            <w:pPr>
              <w:jc w:val="center"/>
              <w:rPr>
                <w:rFonts w:asciiTheme="minorEastAsia" w:hAnsiTheme="minorEastAsia"/>
                <w:kern w:val="0"/>
                <w:szCs w:val="21"/>
                <w:lang w:eastAsia="zh-CN"/>
              </w:rPr>
            </w:pPr>
            <w:r>
              <w:rPr>
                <w:rFonts w:hint="eastAsia" w:asciiTheme="minorEastAsia" w:hAnsiTheme="minorEastAsia"/>
                <w:kern w:val="0"/>
                <w:szCs w:val="21"/>
                <w:lang w:eastAsia="zh-CN"/>
              </w:rPr>
              <w:t>潜在响应人现场考察或者召开开标前答疑会</w:t>
            </w:r>
          </w:p>
        </w:tc>
        <w:tc>
          <w:tcPr>
            <w:tcW w:w="4910" w:type="dxa"/>
            <w:tcBorders>
              <w:top w:val="single" w:color="000000" w:sz="4" w:space="0"/>
              <w:left w:val="single" w:color="000000" w:sz="4" w:space="0"/>
              <w:bottom w:val="single" w:color="000000" w:sz="4" w:space="0"/>
              <w:right w:val="single" w:color="000000" w:sz="4" w:space="0"/>
            </w:tcBorders>
            <w:vAlign w:val="center"/>
          </w:tcPr>
          <w:p>
            <w:pPr>
              <w:rPr>
                <w:rFonts w:asciiTheme="minorEastAsia" w:hAnsiTheme="minorEastAsia"/>
                <w:kern w:val="0"/>
                <w:szCs w:val="21"/>
                <w:lang w:eastAsia="zh-CN"/>
              </w:rPr>
            </w:pPr>
            <w:r>
              <w:rPr>
                <w:rFonts w:asciiTheme="minorEastAsia" w:hAnsiTheme="minorEastAsia"/>
                <w:kern w:val="0"/>
                <w:szCs w:val="21"/>
                <w:lang w:eastAsia="zh-CN"/>
              </w:rPr>
              <w:t>不召开</w:t>
            </w:r>
          </w:p>
        </w:tc>
      </w:tr>
      <w:tr>
        <w:tblPrEx>
          <w:tblCellMar>
            <w:top w:w="0" w:type="dxa"/>
            <w:left w:w="0" w:type="dxa"/>
            <w:bottom w:w="0" w:type="dxa"/>
            <w:right w:w="0" w:type="dxa"/>
          </w:tblCellMar>
        </w:tblPrEx>
        <w:tc>
          <w:tcPr>
            <w:tcW w:w="1038" w:type="dxa"/>
            <w:tcBorders>
              <w:top w:val="single" w:color="000000" w:sz="4" w:space="0"/>
              <w:left w:val="single" w:color="000000" w:sz="4" w:space="0"/>
              <w:bottom w:val="single" w:color="000000" w:sz="4" w:space="0"/>
              <w:right w:val="single" w:color="000000" w:sz="4" w:space="0"/>
            </w:tcBorders>
            <w:vAlign w:val="center"/>
          </w:tcPr>
          <w:p>
            <w:pPr>
              <w:jc w:val="center"/>
              <w:rPr>
                <w:rFonts w:asciiTheme="minorEastAsia" w:hAnsiTheme="minorEastAsia"/>
                <w:kern w:val="0"/>
                <w:szCs w:val="21"/>
                <w:lang w:eastAsia="en-US"/>
              </w:rPr>
            </w:pPr>
            <w:r>
              <w:rPr>
                <w:rFonts w:asciiTheme="minorEastAsia" w:hAnsiTheme="minorEastAsia"/>
                <w:kern w:val="0"/>
                <w:szCs w:val="21"/>
                <w:lang w:eastAsia="en-US"/>
              </w:rPr>
              <w:t>1.10.1</w:t>
            </w:r>
          </w:p>
        </w:tc>
        <w:tc>
          <w:tcPr>
            <w:tcW w:w="2368" w:type="dxa"/>
            <w:tcBorders>
              <w:top w:val="single" w:color="000000" w:sz="4" w:space="0"/>
              <w:left w:val="single" w:color="000000" w:sz="4" w:space="0"/>
              <w:bottom w:val="single" w:color="000000" w:sz="4" w:space="0"/>
              <w:right w:val="single" w:color="000000" w:sz="4" w:space="0"/>
            </w:tcBorders>
            <w:vAlign w:val="center"/>
          </w:tcPr>
          <w:p>
            <w:pPr>
              <w:jc w:val="center"/>
              <w:rPr>
                <w:rFonts w:asciiTheme="minorEastAsia" w:hAnsiTheme="minorEastAsia"/>
                <w:kern w:val="0"/>
                <w:szCs w:val="21"/>
                <w:lang w:eastAsia="en-US"/>
              </w:rPr>
            </w:pPr>
            <w:r>
              <w:rPr>
                <w:rFonts w:asciiTheme="minorEastAsia" w:hAnsiTheme="minorEastAsia"/>
                <w:kern w:val="0"/>
                <w:szCs w:val="21"/>
                <w:lang w:eastAsia="en-US"/>
              </w:rPr>
              <w:t>分包</w:t>
            </w:r>
          </w:p>
        </w:tc>
        <w:tc>
          <w:tcPr>
            <w:tcW w:w="4910" w:type="dxa"/>
            <w:tcBorders>
              <w:top w:val="single" w:color="000000" w:sz="4" w:space="0"/>
              <w:left w:val="single" w:color="000000" w:sz="4" w:space="0"/>
              <w:bottom w:val="single" w:color="000000" w:sz="4" w:space="0"/>
              <w:right w:val="single" w:color="000000" w:sz="4" w:space="0"/>
            </w:tcBorders>
            <w:vAlign w:val="center"/>
          </w:tcPr>
          <w:p>
            <w:pPr>
              <w:rPr>
                <w:rFonts w:asciiTheme="minorEastAsia" w:hAnsiTheme="minorEastAsia"/>
                <w:kern w:val="0"/>
                <w:szCs w:val="21"/>
                <w:lang w:eastAsia="en-US"/>
              </w:rPr>
            </w:pPr>
            <w:r>
              <w:rPr>
                <w:rFonts w:asciiTheme="minorEastAsia" w:hAnsiTheme="minorEastAsia"/>
                <w:kern w:val="0"/>
                <w:szCs w:val="21"/>
                <w:lang w:eastAsia="en-US"/>
              </w:rPr>
              <w:t>不允许</w:t>
            </w:r>
          </w:p>
        </w:tc>
      </w:tr>
      <w:tr>
        <w:tblPrEx>
          <w:tblCellMar>
            <w:top w:w="0" w:type="dxa"/>
            <w:left w:w="0" w:type="dxa"/>
            <w:bottom w:w="0" w:type="dxa"/>
            <w:right w:w="0" w:type="dxa"/>
          </w:tblCellMar>
        </w:tblPrEx>
        <w:tc>
          <w:tcPr>
            <w:tcW w:w="1038" w:type="dxa"/>
            <w:tcBorders>
              <w:top w:val="single" w:color="000000" w:sz="4" w:space="0"/>
              <w:left w:val="single" w:color="000000" w:sz="4" w:space="0"/>
              <w:bottom w:val="single" w:color="000000" w:sz="4" w:space="0"/>
              <w:right w:val="single" w:color="000000" w:sz="4" w:space="0"/>
            </w:tcBorders>
            <w:vAlign w:val="center"/>
          </w:tcPr>
          <w:p>
            <w:pPr>
              <w:jc w:val="center"/>
              <w:rPr>
                <w:rFonts w:asciiTheme="minorEastAsia" w:hAnsiTheme="minorEastAsia"/>
                <w:kern w:val="0"/>
                <w:szCs w:val="21"/>
                <w:lang w:eastAsia="en-US"/>
              </w:rPr>
            </w:pPr>
            <w:r>
              <w:rPr>
                <w:rFonts w:asciiTheme="minorEastAsia" w:hAnsiTheme="minorEastAsia"/>
                <w:kern w:val="0"/>
                <w:szCs w:val="21"/>
                <w:lang w:eastAsia="en-US"/>
              </w:rPr>
              <w:t>1.11</w:t>
            </w:r>
          </w:p>
        </w:tc>
        <w:tc>
          <w:tcPr>
            <w:tcW w:w="2368" w:type="dxa"/>
            <w:tcBorders>
              <w:top w:val="single" w:color="000000" w:sz="4" w:space="0"/>
              <w:left w:val="single" w:color="000000" w:sz="4" w:space="0"/>
              <w:bottom w:val="single" w:color="000000" w:sz="4" w:space="0"/>
              <w:right w:val="single" w:color="000000" w:sz="4" w:space="0"/>
            </w:tcBorders>
            <w:vAlign w:val="center"/>
          </w:tcPr>
          <w:p>
            <w:pPr>
              <w:jc w:val="center"/>
              <w:rPr>
                <w:rFonts w:asciiTheme="minorEastAsia" w:hAnsiTheme="minorEastAsia"/>
                <w:kern w:val="0"/>
                <w:szCs w:val="21"/>
                <w:lang w:eastAsia="en-US"/>
              </w:rPr>
            </w:pPr>
            <w:r>
              <w:rPr>
                <w:rFonts w:hint="eastAsia" w:asciiTheme="minorEastAsia" w:hAnsiTheme="minorEastAsia"/>
                <w:kern w:val="0"/>
                <w:szCs w:val="21"/>
                <w:lang w:eastAsia="en-US"/>
              </w:rPr>
              <w:t>偏离</w:t>
            </w:r>
          </w:p>
        </w:tc>
        <w:tc>
          <w:tcPr>
            <w:tcW w:w="4910" w:type="dxa"/>
            <w:tcBorders>
              <w:top w:val="single" w:color="000000" w:sz="4" w:space="0"/>
              <w:left w:val="single" w:color="000000" w:sz="4" w:space="0"/>
              <w:bottom w:val="single" w:color="000000" w:sz="4" w:space="0"/>
              <w:right w:val="single" w:color="000000" w:sz="4" w:space="0"/>
            </w:tcBorders>
            <w:vAlign w:val="center"/>
          </w:tcPr>
          <w:p>
            <w:pPr>
              <w:rPr>
                <w:rFonts w:asciiTheme="minorEastAsia" w:hAnsiTheme="minorEastAsia"/>
                <w:kern w:val="0"/>
                <w:szCs w:val="21"/>
                <w:lang w:eastAsia="en-US"/>
              </w:rPr>
            </w:pPr>
            <w:r>
              <w:rPr>
                <w:rFonts w:hint="eastAsia" w:asciiTheme="minorEastAsia" w:hAnsiTheme="minorEastAsia"/>
                <w:kern w:val="0"/>
                <w:szCs w:val="21"/>
                <w:lang w:eastAsia="en-US"/>
              </w:rPr>
              <w:t>不允许</w:t>
            </w:r>
          </w:p>
        </w:tc>
      </w:tr>
      <w:tr>
        <w:tblPrEx>
          <w:tblCellMar>
            <w:top w:w="0" w:type="dxa"/>
            <w:left w:w="0" w:type="dxa"/>
            <w:bottom w:w="0" w:type="dxa"/>
            <w:right w:w="0" w:type="dxa"/>
          </w:tblCellMar>
        </w:tblPrEx>
        <w:tc>
          <w:tcPr>
            <w:tcW w:w="1038" w:type="dxa"/>
            <w:tcBorders>
              <w:top w:val="single" w:color="000000" w:sz="4" w:space="0"/>
              <w:left w:val="single" w:color="000000" w:sz="4" w:space="0"/>
              <w:bottom w:val="single" w:color="000000" w:sz="4" w:space="0"/>
              <w:right w:val="single" w:color="000000" w:sz="4" w:space="0"/>
            </w:tcBorders>
            <w:vAlign w:val="center"/>
          </w:tcPr>
          <w:p>
            <w:pPr>
              <w:jc w:val="center"/>
              <w:rPr>
                <w:rFonts w:asciiTheme="minorEastAsia" w:hAnsiTheme="minorEastAsia"/>
                <w:kern w:val="0"/>
                <w:szCs w:val="21"/>
                <w:lang w:eastAsia="en-US"/>
              </w:rPr>
            </w:pPr>
            <w:r>
              <w:rPr>
                <w:rFonts w:asciiTheme="minorEastAsia" w:hAnsiTheme="minorEastAsia"/>
                <w:kern w:val="0"/>
                <w:szCs w:val="21"/>
                <w:lang w:eastAsia="en-US"/>
              </w:rPr>
              <w:t>2.1</w:t>
            </w:r>
          </w:p>
        </w:tc>
        <w:tc>
          <w:tcPr>
            <w:tcW w:w="2368" w:type="dxa"/>
            <w:tcBorders>
              <w:top w:val="single" w:color="000000" w:sz="4" w:space="0"/>
              <w:left w:val="single" w:color="000000" w:sz="4" w:space="0"/>
              <w:bottom w:val="single" w:color="000000" w:sz="4" w:space="0"/>
              <w:right w:val="single" w:color="000000" w:sz="4" w:space="0"/>
            </w:tcBorders>
            <w:vAlign w:val="center"/>
          </w:tcPr>
          <w:p>
            <w:pPr>
              <w:jc w:val="center"/>
              <w:rPr>
                <w:rFonts w:asciiTheme="minorEastAsia" w:hAnsiTheme="minorEastAsia"/>
                <w:kern w:val="0"/>
                <w:szCs w:val="21"/>
                <w:lang w:eastAsia="zh-CN"/>
              </w:rPr>
            </w:pPr>
            <w:r>
              <w:rPr>
                <w:rFonts w:asciiTheme="minorEastAsia" w:hAnsiTheme="minorEastAsia"/>
                <w:kern w:val="0"/>
                <w:szCs w:val="21"/>
                <w:lang w:eastAsia="zh-CN"/>
              </w:rPr>
              <w:t>构成竞争性磋商文件的其他资料</w:t>
            </w:r>
          </w:p>
        </w:tc>
        <w:tc>
          <w:tcPr>
            <w:tcW w:w="4910" w:type="dxa"/>
            <w:tcBorders>
              <w:top w:val="single" w:color="000000" w:sz="4" w:space="0"/>
              <w:left w:val="single" w:color="000000" w:sz="4" w:space="0"/>
              <w:bottom w:val="single" w:color="000000" w:sz="4" w:space="0"/>
              <w:right w:val="single" w:color="000000" w:sz="4" w:space="0"/>
            </w:tcBorders>
            <w:vAlign w:val="center"/>
          </w:tcPr>
          <w:p>
            <w:pPr>
              <w:rPr>
                <w:rFonts w:asciiTheme="minorEastAsia" w:hAnsiTheme="minorEastAsia"/>
                <w:kern w:val="0"/>
                <w:szCs w:val="21"/>
                <w:lang w:eastAsia="zh-CN"/>
              </w:rPr>
            </w:pPr>
            <w:r>
              <w:rPr>
                <w:rFonts w:hint="eastAsia" w:asciiTheme="minorEastAsia" w:hAnsiTheme="minorEastAsia"/>
                <w:kern w:val="0"/>
                <w:szCs w:val="21"/>
                <w:lang w:eastAsia="zh-CN"/>
              </w:rPr>
              <w:t>除磋商文件外，采购人在磋商期间发出的澄清、修改、补充、补遗和其它有效正式函件等内容均是磋商文件的组成部分</w:t>
            </w:r>
          </w:p>
        </w:tc>
      </w:tr>
      <w:tr>
        <w:tblPrEx>
          <w:tblCellMar>
            <w:top w:w="0" w:type="dxa"/>
            <w:left w:w="0" w:type="dxa"/>
            <w:bottom w:w="0" w:type="dxa"/>
            <w:right w:w="0" w:type="dxa"/>
          </w:tblCellMar>
        </w:tblPrEx>
        <w:trPr>
          <w:trHeight w:val="624" w:hRule="atLeast"/>
        </w:trPr>
        <w:tc>
          <w:tcPr>
            <w:tcW w:w="1038" w:type="dxa"/>
            <w:tcBorders>
              <w:top w:val="single" w:color="000000" w:sz="4" w:space="0"/>
              <w:left w:val="single" w:color="000000" w:sz="4" w:space="0"/>
              <w:bottom w:val="single" w:color="000000" w:sz="4" w:space="0"/>
              <w:right w:val="single" w:color="000000" w:sz="4" w:space="0"/>
            </w:tcBorders>
            <w:vAlign w:val="center"/>
          </w:tcPr>
          <w:p>
            <w:pPr>
              <w:jc w:val="center"/>
              <w:rPr>
                <w:rFonts w:asciiTheme="minorEastAsia" w:hAnsiTheme="minorEastAsia"/>
                <w:kern w:val="0"/>
                <w:szCs w:val="21"/>
                <w:lang w:eastAsia="en-US"/>
              </w:rPr>
            </w:pPr>
            <w:r>
              <w:rPr>
                <w:rFonts w:asciiTheme="minorEastAsia" w:hAnsiTheme="minorEastAsia"/>
                <w:kern w:val="0"/>
                <w:szCs w:val="21"/>
                <w:lang w:eastAsia="en-US"/>
              </w:rPr>
              <w:t>2.2.1</w:t>
            </w:r>
          </w:p>
        </w:tc>
        <w:tc>
          <w:tcPr>
            <w:tcW w:w="2368" w:type="dxa"/>
            <w:tcBorders>
              <w:top w:val="single" w:color="000000" w:sz="4" w:space="0"/>
              <w:left w:val="single" w:color="000000" w:sz="4" w:space="0"/>
              <w:bottom w:val="single" w:color="000000" w:sz="4" w:space="0"/>
              <w:right w:val="single" w:color="000000" w:sz="4" w:space="0"/>
            </w:tcBorders>
            <w:vAlign w:val="center"/>
          </w:tcPr>
          <w:p>
            <w:pPr>
              <w:jc w:val="center"/>
              <w:rPr>
                <w:rFonts w:asciiTheme="minorEastAsia" w:hAnsiTheme="minorEastAsia"/>
                <w:kern w:val="0"/>
                <w:szCs w:val="21"/>
                <w:lang w:eastAsia="zh-CN"/>
              </w:rPr>
            </w:pPr>
            <w:r>
              <w:rPr>
                <w:rFonts w:hint="eastAsia" w:asciiTheme="minorEastAsia" w:hAnsiTheme="minorEastAsia"/>
                <w:kern w:val="0"/>
                <w:szCs w:val="21"/>
                <w:lang w:eastAsia="zh-CN"/>
              </w:rPr>
              <w:t>响应人</w:t>
            </w:r>
            <w:r>
              <w:rPr>
                <w:rFonts w:asciiTheme="minorEastAsia" w:hAnsiTheme="minorEastAsia"/>
                <w:kern w:val="0"/>
                <w:szCs w:val="21"/>
                <w:lang w:eastAsia="zh-CN"/>
              </w:rPr>
              <w:t>要求澄清竞争性磋商文件</w:t>
            </w:r>
          </w:p>
        </w:tc>
        <w:tc>
          <w:tcPr>
            <w:tcW w:w="4910" w:type="dxa"/>
            <w:tcBorders>
              <w:top w:val="single" w:color="000000" w:sz="4" w:space="0"/>
              <w:left w:val="single" w:color="000000" w:sz="4" w:space="0"/>
              <w:bottom w:val="single" w:color="000000" w:sz="4" w:space="0"/>
              <w:right w:val="single" w:color="000000" w:sz="4" w:space="0"/>
            </w:tcBorders>
            <w:vAlign w:val="center"/>
          </w:tcPr>
          <w:p>
            <w:pPr>
              <w:rPr>
                <w:rFonts w:asciiTheme="minorEastAsia" w:hAnsiTheme="minorEastAsia"/>
                <w:kern w:val="0"/>
                <w:szCs w:val="21"/>
                <w:lang w:eastAsia="zh-CN"/>
              </w:rPr>
            </w:pPr>
            <w:r>
              <w:rPr>
                <w:rFonts w:asciiTheme="minorEastAsia" w:hAnsiTheme="minorEastAsia"/>
                <w:kern w:val="0"/>
                <w:szCs w:val="21"/>
                <w:lang w:eastAsia="zh-CN"/>
              </w:rPr>
              <w:t>时间：</w:t>
            </w:r>
            <w:r>
              <w:rPr>
                <w:rFonts w:hint="eastAsia" w:asciiTheme="minorEastAsia" w:hAnsiTheme="minorEastAsia"/>
                <w:kern w:val="0"/>
                <w:szCs w:val="21"/>
                <w:lang w:eastAsia="zh-CN"/>
              </w:rPr>
              <w:t>提交响应文件截止之日3天前</w:t>
            </w:r>
          </w:p>
          <w:p>
            <w:pPr>
              <w:rPr>
                <w:rFonts w:asciiTheme="minorEastAsia" w:hAnsiTheme="minorEastAsia"/>
                <w:kern w:val="0"/>
                <w:szCs w:val="21"/>
                <w:lang w:eastAsia="zh-CN"/>
              </w:rPr>
            </w:pPr>
            <w:r>
              <w:rPr>
                <w:rFonts w:asciiTheme="minorEastAsia" w:hAnsiTheme="minorEastAsia"/>
                <w:kern w:val="0"/>
                <w:szCs w:val="21"/>
                <w:lang w:eastAsia="zh-CN"/>
              </w:rPr>
              <w:t>形式：</w:t>
            </w:r>
            <w:r>
              <w:rPr>
                <w:rFonts w:hint="eastAsia" w:asciiTheme="minorEastAsia" w:hAnsiTheme="minorEastAsia"/>
                <w:kern w:val="0"/>
                <w:szCs w:val="21"/>
                <w:lang w:eastAsia="zh-CN"/>
              </w:rPr>
              <w:t>郑州市公共资源交易中心平台提出</w:t>
            </w:r>
          </w:p>
        </w:tc>
      </w:tr>
      <w:tr>
        <w:tblPrEx>
          <w:tblCellMar>
            <w:top w:w="0" w:type="dxa"/>
            <w:left w:w="0" w:type="dxa"/>
            <w:bottom w:w="0" w:type="dxa"/>
            <w:right w:w="0" w:type="dxa"/>
          </w:tblCellMar>
        </w:tblPrEx>
        <w:trPr>
          <w:trHeight w:val="703" w:hRule="atLeast"/>
        </w:trPr>
        <w:tc>
          <w:tcPr>
            <w:tcW w:w="1038" w:type="dxa"/>
            <w:tcBorders>
              <w:top w:val="single" w:color="000000" w:sz="4" w:space="0"/>
              <w:left w:val="single" w:color="000000" w:sz="4" w:space="0"/>
              <w:bottom w:val="single" w:color="000000" w:sz="4" w:space="0"/>
              <w:right w:val="single" w:color="000000" w:sz="4" w:space="0"/>
            </w:tcBorders>
            <w:vAlign w:val="center"/>
          </w:tcPr>
          <w:p>
            <w:pPr>
              <w:jc w:val="center"/>
              <w:rPr>
                <w:rFonts w:asciiTheme="minorEastAsia" w:hAnsiTheme="minorEastAsia"/>
                <w:kern w:val="0"/>
                <w:szCs w:val="21"/>
                <w:lang w:eastAsia="en-US"/>
              </w:rPr>
            </w:pPr>
            <w:r>
              <w:rPr>
                <w:rFonts w:asciiTheme="minorEastAsia" w:hAnsiTheme="minorEastAsia"/>
                <w:kern w:val="0"/>
                <w:szCs w:val="21"/>
                <w:lang w:eastAsia="en-US"/>
              </w:rPr>
              <w:t>2.2.2</w:t>
            </w:r>
          </w:p>
        </w:tc>
        <w:tc>
          <w:tcPr>
            <w:tcW w:w="2368" w:type="dxa"/>
            <w:tcBorders>
              <w:top w:val="single" w:color="000000" w:sz="4" w:space="0"/>
              <w:left w:val="single" w:color="000000" w:sz="4" w:space="0"/>
              <w:bottom w:val="single" w:color="000000" w:sz="4" w:space="0"/>
              <w:right w:val="single" w:color="000000" w:sz="4" w:space="0"/>
            </w:tcBorders>
            <w:vAlign w:val="center"/>
          </w:tcPr>
          <w:p>
            <w:pPr>
              <w:jc w:val="center"/>
              <w:rPr>
                <w:rFonts w:asciiTheme="minorEastAsia" w:hAnsiTheme="minorEastAsia"/>
                <w:kern w:val="0"/>
                <w:szCs w:val="21"/>
                <w:lang w:eastAsia="zh-CN"/>
              </w:rPr>
            </w:pPr>
            <w:r>
              <w:rPr>
                <w:rFonts w:asciiTheme="minorEastAsia" w:hAnsiTheme="minorEastAsia"/>
                <w:kern w:val="0"/>
                <w:szCs w:val="21"/>
                <w:lang w:eastAsia="zh-CN"/>
              </w:rPr>
              <w:t>竞争性磋商文件澄清发出的形式</w:t>
            </w:r>
          </w:p>
        </w:tc>
        <w:tc>
          <w:tcPr>
            <w:tcW w:w="4910" w:type="dxa"/>
            <w:tcBorders>
              <w:top w:val="single" w:color="000000" w:sz="4" w:space="0"/>
              <w:left w:val="single" w:color="000000" w:sz="4" w:space="0"/>
              <w:bottom w:val="single" w:color="000000" w:sz="4" w:space="0"/>
              <w:right w:val="single" w:color="000000" w:sz="4" w:space="0"/>
            </w:tcBorders>
            <w:vAlign w:val="center"/>
          </w:tcPr>
          <w:p>
            <w:pPr>
              <w:rPr>
                <w:rFonts w:asciiTheme="minorEastAsia" w:hAnsiTheme="minorEastAsia"/>
                <w:kern w:val="0"/>
                <w:szCs w:val="21"/>
                <w:lang w:eastAsia="zh-CN"/>
              </w:rPr>
            </w:pPr>
            <w:r>
              <w:rPr>
                <w:rFonts w:hint="eastAsia" w:asciiTheme="minorEastAsia" w:hAnsiTheme="minorEastAsia"/>
                <w:kern w:val="0"/>
                <w:szCs w:val="21"/>
                <w:lang w:eastAsia="zh-CN"/>
              </w:rPr>
              <w:t>郑州市公共资源交易中心平台</w:t>
            </w:r>
          </w:p>
        </w:tc>
      </w:tr>
      <w:tr>
        <w:tblPrEx>
          <w:tblCellMar>
            <w:top w:w="0" w:type="dxa"/>
            <w:left w:w="0" w:type="dxa"/>
            <w:bottom w:w="0" w:type="dxa"/>
            <w:right w:w="0" w:type="dxa"/>
          </w:tblCellMar>
        </w:tblPrEx>
        <w:trPr>
          <w:trHeight w:val="890" w:hRule="atLeast"/>
        </w:trPr>
        <w:tc>
          <w:tcPr>
            <w:tcW w:w="1038" w:type="dxa"/>
            <w:tcBorders>
              <w:top w:val="single" w:color="000000" w:sz="4" w:space="0"/>
              <w:left w:val="single" w:color="000000" w:sz="4" w:space="0"/>
              <w:bottom w:val="single" w:color="000000" w:sz="4" w:space="0"/>
              <w:right w:val="single" w:color="000000" w:sz="4" w:space="0"/>
            </w:tcBorders>
            <w:vAlign w:val="center"/>
          </w:tcPr>
          <w:p>
            <w:pPr>
              <w:jc w:val="center"/>
              <w:rPr>
                <w:rFonts w:asciiTheme="minorEastAsia" w:hAnsiTheme="minorEastAsia"/>
                <w:kern w:val="0"/>
                <w:szCs w:val="21"/>
                <w:lang w:eastAsia="en-US"/>
              </w:rPr>
            </w:pPr>
            <w:r>
              <w:rPr>
                <w:rFonts w:asciiTheme="minorEastAsia" w:hAnsiTheme="minorEastAsia"/>
                <w:kern w:val="0"/>
                <w:szCs w:val="21"/>
                <w:lang w:eastAsia="en-US"/>
              </w:rPr>
              <w:t>2.2.3</w:t>
            </w:r>
          </w:p>
        </w:tc>
        <w:tc>
          <w:tcPr>
            <w:tcW w:w="2368" w:type="dxa"/>
            <w:tcBorders>
              <w:top w:val="single" w:color="000000" w:sz="4" w:space="0"/>
              <w:left w:val="single" w:color="000000" w:sz="4" w:space="0"/>
              <w:bottom w:val="single" w:color="000000" w:sz="4" w:space="0"/>
              <w:right w:val="single" w:color="000000" w:sz="4" w:space="0"/>
            </w:tcBorders>
            <w:vAlign w:val="center"/>
          </w:tcPr>
          <w:p>
            <w:pPr>
              <w:jc w:val="center"/>
              <w:rPr>
                <w:rFonts w:asciiTheme="minorEastAsia" w:hAnsiTheme="minorEastAsia"/>
                <w:kern w:val="0"/>
                <w:szCs w:val="21"/>
                <w:lang w:eastAsia="zh-CN"/>
              </w:rPr>
            </w:pPr>
            <w:r>
              <w:rPr>
                <w:rFonts w:hint="eastAsia" w:asciiTheme="minorEastAsia" w:hAnsiTheme="minorEastAsia"/>
                <w:kern w:val="0"/>
                <w:szCs w:val="21"/>
                <w:lang w:eastAsia="zh-CN"/>
              </w:rPr>
              <w:t>响应人</w:t>
            </w:r>
            <w:r>
              <w:rPr>
                <w:rFonts w:asciiTheme="minorEastAsia" w:hAnsiTheme="minorEastAsia"/>
                <w:kern w:val="0"/>
                <w:szCs w:val="21"/>
                <w:lang w:eastAsia="zh-CN"/>
              </w:rPr>
              <w:t>确认收到竞争性磋商文件澄清</w:t>
            </w:r>
          </w:p>
        </w:tc>
        <w:tc>
          <w:tcPr>
            <w:tcW w:w="4910" w:type="dxa"/>
            <w:tcBorders>
              <w:top w:val="single" w:color="000000" w:sz="4" w:space="0"/>
              <w:left w:val="single" w:color="000000" w:sz="4" w:space="0"/>
              <w:bottom w:val="single" w:color="000000" w:sz="4" w:space="0"/>
              <w:right w:val="single" w:color="000000" w:sz="4" w:space="0"/>
            </w:tcBorders>
            <w:vAlign w:val="center"/>
          </w:tcPr>
          <w:p>
            <w:pPr>
              <w:rPr>
                <w:rFonts w:asciiTheme="minorEastAsia" w:hAnsiTheme="minorEastAsia"/>
                <w:kern w:val="0"/>
                <w:szCs w:val="21"/>
                <w:lang w:eastAsia="zh-CN"/>
              </w:rPr>
            </w:pPr>
            <w:r>
              <w:rPr>
                <w:rFonts w:asciiTheme="minorEastAsia" w:hAnsiTheme="minorEastAsia"/>
                <w:kern w:val="0"/>
                <w:szCs w:val="21"/>
                <w:lang w:eastAsia="zh-CN"/>
              </w:rPr>
              <w:t>时间：</w:t>
            </w:r>
            <w:r>
              <w:rPr>
                <w:rFonts w:hint="eastAsia" w:asciiTheme="minorEastAsia" w:hAnsiTheme="minorEastAsia"/>
                <w:kern w:val="0"/>
                <w:szCs w:val="21"/>
                <w:lang w:eastAsia="zh-CN"/>
              </w:rPr>
              <w:t>收到后24小时内（若未在规定时间内回复，则视为确认收到）</w:t>
            </w:r>
          </w:p>
          <w:p>
            <w:pPr>
              <w:rPr>
                <w:rFonts w:asciiTheme="minorEastAsia" w:hAnsiTheme="minorEastAsia"/>
                <w:kern w:val="0"/>
                <w:szCs w:val="21"/>
                <w:lang w:eastAsia="zh-CN"/>
              </w:rPr>
            </w:pPr>
            <w:r>
              <w:rPr>
                <w:rFonts w:asciiTheme="minorEastAsia" w:hAnsiTheme="minorEastAsia"/>
                <w:kern w:val="0"/>
                <w:szCs w:val="21"/>
                <w:lang w:eastAsia="zh-CN"/>
              </w:rPr>
              <w:t>形式：</w:t>
            </w:r>
            <w:r>
              <w:rPr>
                <w:rFonts w:hint="eastAsia" w:asciiTheme="minorEastAsia" w:hAnsiTheme="minorEastAsia"/>
                <w:kern w:val="0"/>
                <w:szCs w:val="21"/>
                <w:lang w:eastAsia="zh-CN"/>
              </w:rPr>
              <w:t>确认收到函加盖公章扫描发至电子邮箱</w:t>
            </w:r>
          </w:p>
          <w:p>
            <w:pPr>
              <w:rPr>
                <w:rFonts w:asciiTheme="minorEastAsia" w:hAnsiTheme="minorEastAsia"/>
                <w:kern w:val="0"/>
                <w:szCs w:val="21"/>
                <w:lang w:eastAsia="en-US"/>
              </w:rPr>
            </w:pPr>
            <w:r>
              <w:rPr>
                <w:rFonts w:hint="eastAsia" w:asciiTheme="minorEastAsia" w:hAnsiTheme="minorEastAsia"/>
                <w:kern w:val="0"/>
                <w:szCs w:val="21"/>
                <w:lang w:eastAsia="en-US"/>
              </w:rPr>
              <w:t>（</w:t>
            </w:r>
            <w:r>
              <w:rPr>
                <w:rFonts w:hint="eastAsia" w:asciiTheme="minorEastAsia" w:hAnsiTheme="minorEastAsia"/>
                <w:kern w:val="0"/>
                <w:szCs w:val="21"/>
                <w:lang w:val="en-US" w:eastAsia="zh-CN"/>
              </w:rPr>
              <w:t>646528206</w:t>
            </w:r>
            <w:r>
              <w:rPr>
                <w:rFonts w:hint="eastAsia" w:asciiTheme="minorEastAsia" w:hAnsiTheme="minorEastAsia"/>
                <w:kern w:val="0"/>
                <w:szCs w:val="21"/>
                <w:lang w:eastAsia="en-US"/>
              </w:rPr>
              <w:t>@qq.com）</w:t>
            </w:r>
          </w:p>
        </w:tc>
      </w:tr>
      <w:tr>
        <w:tblPrEx>
          <w:tblCellMar>
            <w:top w:w="0" w:type="dxa"/>
            <w:left w:w="0" w:type="dxa"/>
            <w:bottom w:w="0" w:type="dxa"/>
            <w:right w:w="0" w:type="dxa"/>
          </w:tblCellMar>
        </w:tblPrEx>
        <w:trPr>
          <w:trHeight w:val="818" w:hRule="exact"/>
        </w:trPr>
        <w:tc>
          <w:tcPr>
            <w:tcW w:w="1038" w:type="dxa"/>
            <w:tcBorders>
              <w:top w:val="single" w:color="000000" w:sz="4" w:space="0"/>
              <w:left w:val="single" w:color="000000" w:sz="4" w:space="0"/>
              <w:bottom w:val="single" w:color="000000" w:sz="4" w:space="0"/>
              <w:right w:val="single" w:color="000000" w:sz="4" w:space="0"/>
            </w:tcBorders>
            <w:vAlign w:val="center"/>
          </w:tcPr>
          <w:p>
            <w:pPr>
              <w:jc w:val="center"/>
              <w:rPr>
                <w:rFonts w:asciiTheme="minorEastAsia" w:hAnsiTheme="minorEastAsia"/>
                <w:kern w:val="0"/>
                <w:szCs w:val="21"/>
                <w:lang w:eastAsia="en-US"/>
              </w:rPr>
            </w:pPr>
            <w:r>
              <w:rPr>
                <w:rFonts w:asciiTheme="minorEastAsia" w:hAnsiTheme="minorEastAsia"/>
                <w:kern w:val="0"/>
                <w:szCs w:val="21"/>
                <w:lang w:eastAsia="en-US"/>
              </w:rPr>
              <w:t>2.3.1</w:t>
            </w:r>
          </w:p>
        </w:tc>
        <w:tc>
          <w:tcPr>
            <w:tcW w:w="2368" w:type="dxa"/>
            <w:tcBorders>
              <w:top w:val="single" w:color="000000" w:sz="4" w:space="0"/>
              <w:left w:val="single" w:color="000000" w:sz="4" w:space="0"/>
              <w:bottom w:val="single" w:color="000000" w:sz="4" w:space="0"/>
              <w:right w:val="single" w:color="000000" w:sz="4" w:space="0"/>
            </w:tcBorders>
            <w:vAlign w:val="center"/>
          </w:tcPr>
          <w:p>
            <w:pPr>
              <w:jc w:val="center"/>
              <w:rPr>
                <w:rFonts w:asciiTheme="minorEastAsia" w:hAnsiTheme="minorEastAsia"/>
                <w:kern w:val="0"/>
                <w:szCs w:val="21"/>
                <w:lang w:eastAsia="zh-CN"/>
              </w:rPr>
            </w:pPr>
            <w:r>
              <w:rPr>
                <w:rFonts w:asciiTheme="minorEastAsia" w:hAnsiTheme="minorEastAsia"/>
                <w:kern w:val="0"/>
                <w:szCs w:val="21"/>
                <w:lang w:eastAsia="zh-CN"/>
              </w:rPr>
              <w:t>竞争性磋商文件修改发出的形式</w:t>
            </w:r>
          </w:p>
        </w:tc>
        <w:tc>
          <w:tcPr>
            <w:tcW w:w="4910" w:type="dxa"/>
            <w:tcBorders>
              <w:top w:val="single" w:color="000000" w:sz="4" w:space="0"/>
              <w:left w:val="single" w:color="000000" w:sz="4" w:space="0"/>
              <w:bottom w:val="single" w:color="000000" w:sz="4" w:space="0"/>
              <w:right w:val="single" w:color="000000" w:sz="4" w:space="0"/>
            </w:tcBorders>
            <w:vAlign w:val="center"/>
          </w:tcPr>
          <w:p>
            <w:pPr>
              <w:rPr>
                <w:rFonts w:asciiTheme="minorEastAsia" w:hAnsiTheme="minorEastAsia"/>
                <w:kern w:val="0"/>
                <w:szCs w:val="21"/>
                <w:lang w:eastAsia="zh-CN"/>
              </w:rPr>
            </w:pPr>
            <w:r>
              <w:rPr>
                <w:rFonts w:hint="eastAsia" w:asciiTheme="minorEastAsia" w:hAnsiTheme="minorEastAsia"/>
                <w:kern w:val="0"/>
                <w:szCs w:val="21"/>
                <w:lang w:eastAsia="zh-CN"/>
              </w:rPr>
              <w:t>郑州市公共资源交易中心平台</w:t>
            </w:r>
          </w:p>
        </w:tc>
      </w:tr>
      <w:tr>
        <w:tblPrEx>
          <w:tblCellMar>
            <w:top w:w="0" w:type="dxa"/>
            <w:left w:w="0" w:type="dxa"/>
            <w:bottom w:w="0" w:type="dxa"/>
            <w:right w:w="0" w:type="dxa"/>
          </w:tblCellMar>
        </w:tblPrEx>
        <w:trPr>
          <w:trHeight w:val="890" w:hRule="atLeast"/>
        </w:trPr>
        <w:tc>
          <w:tcPr>
            <w:tcW w:w="1038" w:type="dxa"/>
            <w:tcBorders>
              <w:top w:val="single" w:color="000000" w:sz="4" w:space="0"/>
              <w:left w:val="single" w:color="000000" w:sz="4" w:space="0"/>
              <w:bottom w:val="single" w:color="000000" w:sz="4" w:space="0"/>
              <w:right w:val="single" w:color="000000" w:sz="4" w:space="0"/>
            </w:tcBorders>
            <w:vAlign w:val="center"/>
          </w:tcPr>
          <w:p>
            <w:pPr>
              <w:jc w:val="center"/>
              <w:rPr>
                <w:rFonts w:asciiTheme="minorEastAsia" w:hAnsiTheme="minorEastAsia"/>
                <w:kern w:val="0"/>
                <w:szCs w:val="21"/>
                <w:lang w:eastAsia="en-US"/>
              </w:rPr>
            </w:pPr>
            <w:r>
              <w:rPr>
                <w:rFonts w:asciiTheme="minorEastAsia" w:hAnsiTheme="minorEastAsia"/>
                <w:kern w:val="0"/>
                <w:szCs w:val="21"/>
                <w:lang w:eastAsia="en-US"/>
              </w:rPr>
              <w:t>2.3.2</w:t>
            </w:r>
          </w:p>
        </w:tc>
        <w:tc>
          <w:tcPr>
            <w:tcW w:w="2368" w:type="dxa"/>
            <w:tcBorders>
              <w:top w:val="single" w:color="000000" w:sz="4" w:space="0"/>
              <w:left w:val="single" w:color="000000" w:sz="4" w:space="0"/>
              <w:bottom w:val="single" w:color="000000" w:sz="4" w:space="0"/>
              <w:right w:val="single" w:color="000000" w:sz="4" w:space="0"/>
            </w:tcBorders>
            <w:vAlign w:val="center"/>
          </w:tcPr>
          <w:p>
            <w:pPr>
              <w:jc w:val="center"/>
              <w:rPr>
                <w:rFonts w:asciiTheme="minorEastAsia" w:hAnsiTheme="minorEastAsia"/>
                <w:kern w:val="0"/>
                <w:szCs w:val="21"/>
                <w:lang w:eastAsia="zh-CN"/>
              </w:rPr>
            </w:pPr>
            <w:r>
              <w:rPr>
                <w:rFonts w:hint="eastAsia" w:asciiTheme="minorEastAsia" w:hAnsiTheme="minorEastAsia"/>
                <w:kern w:val="0"/>
                <w:szCs w:val="21"/>
                <w:lang w:eastAsia="zh-CN"/>
              </w:rPr>
              <w:t>响应人</w:t>
            </w:r>
            <w:r>
              <w:rPr>
                <w:rFonts w:asciiTheme="minorEastAsia" w:hAnsiTheme="minorEastAsia"/>
                <w:kern w:val="0"/>
                <w:szCs w:val="21"/>
                <w:lang w:eastAsia="zh-CN"/>
              </w:rPr>
              <w:t>确认收到竞争性磋商文件修改</w:t>
            </w:r>
          </w:p>
        </w:tc>
        <w:tc>
          <w:tcPr>
            <w:tcW w:w="4910" w:type="dxa"/>
            <w:tcBorders>
              <w:top w:val="single" w:color="000000" w:sz="4" w:space="0"/>
              <w:left w:val="single" w:color="000000" w:sz="4" w:space="0"/>
              <w:bottom w:val="single" w:color="000000" w:sz="4" w:space="0"/>
              <w:right w:val="single" w:color="000000" w:sz="4" w:space="0"/>
            </w:tcBorders>
            <w:vAlign w:val="center"/>
          </w:tcPr>
          <w:p>
            <w:pPr>
              <w:rPr>
                <w:rFonts w:asciiTheme="minorEastAsia" w:hAnsiTheme="minorEastAsia"/>
                <w:kern w:val="0"/>
                <w:szCs w:val="21"/>
                <w:lang w:eastAsia="zh-CN"/>
              </w:rPr>
            </w:pPr>
            <w:r>
              <w:rPr>
                <w:rFonts w:asciiTheme="minorEastAsia" w:hAnsiTheme="minorEastAsia"/>
                <w:kern w:val="0"/>
                <w:szCs w:val="21"/>
                <w:lang w:eastAsia="zh-CN"/>
              </w:rPr>
              <w:t>时间：</w:t>
            </w:r>
            <w:r>
              <w:rPr>
                <w:rFonts w:hint="eastAsia" w:asciiTheme="minorEastAsia" w:hAnsiTheme="minorEastAsia"/>
                <w:kern w:val="0"/>
                <w:szCs w:val="21"/>
                <w:lang w:eastAsia="zh-CN"/>
              </w:rPr>
              <w:t>收到后24小时内（若未在规定时间内回复，则视为确认收到）</w:t>
            </w:r>
          </w:p>
          <w:p>
            <w:pPr>
              <w:rPr>
                <w:rFonts w:asciiTheme="minorEastAsia" w:hAnsiTheme="minorEastAsia"/>
                <w:kern w:val="0"/>
                <w:szCs w:val="21"/>
                <w:lang w:eastAsia="zh-CN"/>
              </w:rPr>
            </w:pPr>
            <w:r>
              <w:rPr>
                <w:rFonts w:asciiTheme="minorEastAsia" w:hAnsiTheme="minorEastAsia"/>
                <w:kern w:val="0"/>
                <w:szCs w:val="21"/>
                <w:lang w:eastAsia="zh-CN"/>
              </w:rPr>
              <w:t>形式：</w:t>
            </w:r>
            <w:r>
              <w:rPr>
                <w:rFonts w:hint="eastAsia" w:asciiTheme="minorEastAsia" w:hAnsiTheme="minorEastAsia"/>
                <w:kern w:val="0"/>
                <w:szCs w:val="21"/>
                <w:lang w:eastAsia="zh-CN"/>
              </w:rPr>
              <w:t>确认收到函加盖公章扫描发至电子邮箱</w:t>
            </w:r>
          </w:p>
          <w:p>
            <w:pPr>
              <w:rPr>
                <w:rFonts w:asciiTheme="minorEastAsia" w:hAnsiTheme="minorEastAsia"/>
                <w:kern w:val="0"/>
                <w:szCs w:val="21"/>
                <w:lang w:eastAsia="en-US"/>
              </w:rPr>
            </w:pPr>
            <w:r>
              <w:rPr>
                <w:rFonts w:hint="eastAsia" w:asciiTheme="minorEastAsia" w:hAnsiTheme="minorEastAsia"/>
                <w:kern w:val="0"/>
                <w:szCs w:val="21"/>
                <w:lang w:eastAsia="en-US"/>
              </w:rPr>
              <w:t>（</w:t>
            </w:r>
            <w:r>
              <w:rPr>
                <w:rFonts w:hint="eastAsia" w:asciiTheme="minorEastAsia" w:hAnsiTheme="minorEastAsia"/>
                <w:kern w:val="0"/>
                <w:szCs w:val="21"/>
                <w:lang w:val="en-US" w:eastAsia="zh-CN"/>
              </w:rPr>
              <w:t>646528206</w:t>
            </w:r>
            <w:r>
              <w:rPr>
                <w:rFonts w:hint="eastAsia" w:asciiTheme="minorEastAsia" w:hAnsiTheme="minorEastAsia"/>
                <w:kern w:val="0"/>
                <w:szCs w:val="21"/>
                <w:lang w:eastAsia="en-US"/>
              </w:rPr>
              <w:t>@qq.com）</w:t>
            </w:r>
          </w:p>
        </w:tc>
      </w:tr>
      <w:tr>
        <w:tblPrEx>
          <w:tblCellMar>
            <w:top w:w="0" w:type="dxa"/>
            <w:left w:w="0" w:type="dxa"/>
            <w:bottom w:w="0" w:type="dxa"/>
            <w:right w:w="0" w:type="dxa"/>
          </w:tblCellMar>
        </w:tblPrEx>
        <w:trPr>
          <w:trHeight w:val="832" w:hRule="exact"/>
        </w:trPr>
        <w:tc>
          <w:tcPr>
            <w:tcW w:w="1038" w:type="dxa"/>
            <w:tcBorders>
              <w:top w:val="single" w:color="000000" w:sz="4" w:space="0"/>
              <w:left w:val="single" w:color="000000" w:sz="4" w:space="0"/>
              <w:bottom w:val="single" w:color="000000" w:sz="4" w:space="0"/>
              <w:right w:val="single" w:color="000000" w:sz="4" w:space="0"/>
            </w:tcBorders>
            <w:vAlign w:val="center"/>
          </w:tcPr>
          <w:p>
            <w:pPr>
              <w:jc w:val="center"/>
              <w:rPr>
                <w:rFonts w:asciiTheme="minorEastAsia" w:hAnsiTheme="minorEastAsia"/>
                <w:kern w:val="0"/>
                <w:szCs w:val="21"/>
                <w:lang w:eastAsia="en-US"/>
              </w:rPr>
            </w:pPr>
            <w:r>
              <w:rPr>
                <w:rFonts w:asciiTheme="minorEastAsia" w:hAnsiTheme="minorEastAsia"/>
                <w:kern w:val="0"/>
                <w:szCs w:val="21"/>
                <w:lang w:eastAsia="en-US"/>
              </w:rPr>
              <w:t>3.1.1</w:t>
            </w:r>
          </w:p>
        </w:tc>
        <w:tc>
          <w:tcPr>
            <w:tcW w:w="2368" w:type="dxa"/>
            <w:tcBorders>
              <w:top w:val="single" w:color="000000" w:sz="4" w:space="0"/>
              <w:left w:val="single" w:color="000000" w:sz="4" w:space="0"/>
              <w:bottom w:val="single" w:color="000000" w:sz="4" w:space="0"/>
              <w:right w:val="single" w:color="000000" w:sz="4" w:space="0"/>
            </w:tcBorders>
            <w:vAlign w:val="center"/>
          </w:tcPr>
          <w:p>
            <w:pPr>
              <w:jc w:val="center"/>
              <w:rPr>
                <w:rFonts w:asciiTheme="minorEastAsia" w:hAnsiTheme="minorEastAsia"/>
                <w:kern w:val="0"/>
                <w:szCs w:val="21"/>
                <w:lang w:eastAsia="zh-CN"/>
              </w:rPr>
            </w:pPr>
            <w:r>
              <w:rPr>
                <w:rFonts w:asciiTheme="minorEastAsia" w:hAnsiTheme="minorEastAsia"/>
                <w:kern w:val="0"/>
                <w:szCs w:val="21"/>
                <w:lang w:eastAsia="zh-CN"/>
              </w:rPr>
              <w:t>构成响应文件的其他资料</w:t>
            </w:r>
          </w:p>
        </w:tc>
        <w:tc>
          <w:tcPr>
            <w:tcW w:w="4910" w:type="dxa"/>
            <w:tcBorders>
              <w:top w:val="single" w:color="000000" w:sz="4" w:space="0"/>
              <w:left w:val="single" w:color="000000" w:sz="4" w:space="0"/>
              <w:bottom w:val="single" w:color="000000" w:sz="4" w:space="0"/>
              <w:right w:val="single" w:color="000000" w:sz="4" w:space="0"/>
            </w:tcBorders>
            <w:vAlign w:val="center"/>
          </w:tcPr>
          <w:p>
            <w:pPr>
              <w:rPr>
                <w:rFonts w:asciiTheme="minorEastAsia" w:hAnsiTheme="minorEastAsia"/>
                <w:kern w:val="0"/>
                <w:szCs w:val="21"/>
                <w:lang w:eastAsia="zh-CN"/>
              </w:rPr>
            </w:pPr>
            <w:r>
              <w:rPr>
                <w:rFonts w:hint="eastAsia" w:ascii="宋体" w:hAnsi="宋体" w:cs="宋体"/>
                <w:szCs w:val="21"/>
                <w:lang w:eastAsia="zh-CN"/>
              </w:rPr>
              <w:t>响应人认为需要提交的其他证明材料</w:t>
            </w:r>
          </w:p>
        </w:tc>
      </w:tr>
      <w:tr>
        <w:tblPrEx>
          <w:tblCellMar>
            <w:top w:w="0" w:type="dxa"/>
            <w:left w:w="0" w:type="dxa"/>
            <w:bottom w:w="0" w:type="dxa"/>
            <w:right w:w="0" w:type="dxa"/>
          </w:tblCellMar>
        </w:tblPrEx>
        <w:trPr>
          <w:trHeight w:val="822" w:hRule="exact"/>
        </w:trPr>
        <w:tc>
          <w:tcPr>
            <w:tcW w:w="1038" w:type="dxa"/>
            <w:tcBorders>
              <w:top w:val="single" w:color="000000" w:sz="4" w:space="0"/>
              <w:left w:val="single" w:color="000000" w:sz="4" w:space="0"/>
              <w:bottom w:val="single" w:color="000000" w:sz="4" w:space="0"/>
              <w:right w:val="single" w:color="000000" w:sz="4" w:space="0"/>
            </w:tcBorders>
            <w:vAlign w:val="center"/>
          </w:tcPr>
          <w:p>
            <w:pPr>
              <w:jc w:val="center"/>
              <w:rPr>
                <w:rFonts w:asciiTheme="minorEastAsia" w:hAnsiTheme="minorEastAsia"/>
                <w:kern w:val="0"/>
                <w:szCs w:val="21"/>
                <w:lang w:eastAsia="en-US"/>
              </w:rPr>
            </w:pPr>
            <w:r>
              <w:rPr>
                <w:rFonts w:asciiTheme="minorEastAsia" w:hAnsiTheme="minorEastAsia"/>
                <w:kern w:val="0"/>
                <w:szCs w:val="21"/>
                <w:lang w:eastAsia="en-US"/>
              </w:rPr>
              <w:t>3.2.</w:t>
            </w:r>
            <w:r>
              <w:rPr>
                <w:rFonts w:hint="eastAsia" w:asciiTheme="minorEastAsia" w:hAnsiTheme="minorEastAsia"/>
                <w:kern w:val="0"/>
                <w:szCs w:val="21"/>
                <w:lang w:eastAsia="en-US"/>
              </w:rPr>
              <w:t>5</w:t>
            </w:r>
          </w:p>
        </w:tc>
        <w:tc>
          <w:tcPr>
            <w:tcW w:w="2368" w:type="dxa"/>
            <w:tcBorders>
              <w:top w:val="single" w:color="000000" w:sz="4" w:space="0"/>
              <w:left w:val="single" w:color="000000" w:sz="4" w:space="0"/>
              <w:bottom w:val="single" w:color="000000" w:sz="4" w:space="0"/>
              <w:right w:val="single" w:color="000000" w:sz="4" w:space="0"/>
            </w:tcBorders>
            <w:vAlign w:val="center"/>
          </w:tcPr>
          <w:p>
            <w:pPr>
              <w:jc w:val="center"/>
              <w:rPr>
                <w:rFonts w:asciiTheme="minorEastAsia" w:hAnsiTheme="minorEastAsia"/>
                <w:kern w:val="0"/>
                <w:szCs w:val="21"/>
                <w:lang w:eastAsia="en-US"/>
              </w:rPr>
            </w:pPr>
            <w:r>
              <w:rPr>
                <w:rFonts w:asciiTheme="minorEastAsia" w:hAnsiTheme="minorEastAsia"/>
                <w:kern w:val="0"/>
                <w:szCs w:val="21"/>
                <w:lang w:eastAsia="en-US"/>
              </w:rPr>
              <w:t>最高限价</w:t>
            </w:r>
          </w:p>
        </w:tc>
        <w:tc>
          <w:tcPr>
            <w:tcW w:w="4910" w:type="dxa"/>
            <w:tcBorders>
              <w:top w:val="single" w:color="000000" w:sz="4" w:space="0"/>
              <w:left w:val="single" w:color="000000" w:sz="4" w:space="0"/>
              <w:bottom w:val="single" w:color="000000" w:sz="4" w:space="0"/>
              <w:right w:val="single" w:color="000000" w:sz="4" w:space="0"/>
            </w:tcBorders>
            <w:vAlign w:val="center"/>
          </w:tcPr>
          <w:p>
            <w:pPr>
              <w:rPr>
                <w:rFonts w:asciiTheme="minorEastAsia" w:hAnsiTheme="minorEastAsia"/>
                <w:kern w:val="0"/>
                <w:szCs w:val="21"/>
                <w:lang w:eastAsia="en-US"/>
              </w:rPr>
            </w:pPr>
            <w:r>
              <w:rPr>
                <w:rFonts w:hint="eastAsia" w:asciiTheme="minorEastAsia" w:hAnsiTheme="minorEastAsia"/>
                <w:kern w:val="0"/>
                <w:szCs w:val="21"/>
                <w:lang w:eastAsia="en-US"/>
              </w:rPr>
              <w:t>2649999.80元</w:t>
            </w:r>
          </w:p>
        </w:tc>
      </w:tr>
      <w:tr>
        <w:tblPrEx>
          <w:tblCellMar>
            <w:top w:w="0" w:type="dxa"/>
            <w:left w:w="0" w:type="dxa"/>
            <w:bottom w:w="0" w:type="dxa"/>
            <w:right w:w="0" w:type="dxa"/>
          </w:tblCellMar>
        </w:tblPrEx>
        <w:tc>
          <w:tcPr>
            <w:tcW w:w="1038" w:type="dxa"/>
            <w:tcBorders>
              <w:top w:val="single" w:color="000000" w:sz="4" w:space="0"/>
              <w:left w:val="single" w:color="000000" w:sz="4" w:space="0"/>
              <w:bottom w:val="single" w:color="000000" w:sz="4" w:space="0"/>
              <w:right w:val="single" w:color="000000" w:sz="4" w:space="0"/>
            </w:tcBorders>
            <w:vAlign w:val="center"/>
          </w:tcPr>
          <w:p>
            <w:pPr>
              <w:jc w:val="center"/>
              <w:rPr>
                <w:rFonts w:asciiTheme="minorEastAsia" w:hAnsiTheme="minorEastAsia"/>
                <w:kern w:val="0"/>
                <w:szCs w:val="21"/>
                <w:lang w:eastAsia="en-US"/>
              </w:rPr>
            </w:pPr>
            <w:r>
              <w:rPr>
                <w:rFonts w:asciiTheme="minorEastAsia" w:hAnsiTheme="minorEastAsia"/>
                <w:kern w:val="0"/>
                <w:szCs w:val="21"/>
                <w:lang w:eastAsia="en-US"/>
              </w:rPr>
              <w:t>3.2.</w:t>
            </w:r>
            <w:r>
              <w:rPr>
                <w:rFonts w:hint="eastAsia" w:asciiTheme="minorEastAsia" w:hAnsiTheme="minorEastAsia"/>
                <w:kern w:val="0"/>
                <w:szCs w:val="21"/>
                <w:lang w:eastAsia="en-US"/>
              </w:rPr>
              <w:t>6</w:t>
            </w:r>
          </w:p>
        </w:tc>
        <w:tc>
          <w:tcPr>
            <w:tcW w:w="2368" w:type="dxa"/>
            <w:tcBorders>
              <w:top w:val="single" w:color="000000" w:sz="4" w:space="0"/>
              <w:left w:val="single" w:color="000000" w:sz="4" w:space="0"/>
              <w:bottom w:val="single" w:color="000000" w:sz="4" w:space="0"/>
              <w:right w:val="single" w:color="000000" w:sz="4" w:space="0"/>
            </w:tcBorders>
            <w:vAlign w:val="center"/>
          </w:tcPr>
          <w:p>
            <w:pPr>
              <w:jc w:val="center"/>
              <w:rPr>
                <w:rFonts w:asciiTheme="minorEastAsia" w:hAnsiTheme="minorEastAsia"/>
                <w:kern w:val="0"/>
                <w:szCs w:val="21"/>
                <w:lang w:eastAsia="en-US"/>
              </w:rPr>
            </w:pPr>
            <w:r>
              <w:rPr>
                <w:rFonts w:hint="eastAsia" w:asciiTheme="minorEastAsia" w:hAnsiTheme="minorEastAsia"/>
                <w:kern w:val="0"/>
                <w:szCs w:val="21"/>
                <w:lang w:eastAsia="en-US"/>
              </w:rPr>
              <w:t>磋商</w:t>
            </w:r>
            <w:r>
              <w:rPr>
                <w:rFonts w:asciiTheme="minorEastAsia" w:hAnsiTheme="minorEastAsia"/>
                <w:kern w:val="0"/>
                <w:szCs w:val="21"/>
                <w:lang w:eastAsia="en-US"/>
              </w:rPr>
              <w:t>报价的其他要求</w:t>
            </w:r>
          </w:p>
        </w:tc>
        <w:tc>
          <w:tcPr>
            <w:tcW w:w="4910" w:type="dxa"/>
            <w:tcBorders>
              <w:top w:val="single" w:color="000000" w:sz="4" w:space="0"/>
              <w:left w:val="single" w:color="000000" w:sz="4" w:space="0"/>
              <w:bottom w:val="single" w:color="000000" w:sz="4" w:space="0"/>
              <w:right w:val="single" w:color="000000" w:sz="4" w:space="0"/>
            </w:tcBorders>
            <w:vAlign w:val="center"/>
          </w:tcPr>
          <w:p>
            <w:pPr>
              <w:rPr>
                <w:rFonts w:asciiTheme="minorEastAsia" w:hAnsiTheme="minorEastAsia"/>
                <w:lang w:eastAsia="zh-CN"/>
              </w:rPr>
            </w:pPr>
            <w:r>
              <w:rPr>
                <w:rFonts w:hint="eastAsia" w:asciiTheme="minorEastAsia" w:hAnsiTheme="minorEastAsia"/>
                <w:kern w:val="0"/>
                <w:szCs w:val="21"/>
                <w:lang w:eastAsia="zh-CN"/>
              </w:rPr>
              <w:t>1、</w:t>
            </w:r>
            <w:r>
              <w:rPr>
                <w:rFonts w:hint="eastAsia" w:asciiTheme="minorEastAsia" w:hAnsiTheme="minorEastAsia"/>
                <w:lang w:eastAsia="zh-CN"/>
              </w:rPr>
              <w:t>通过资格审查及符合性审查的响应人在规定时间内提交最后报价。（交易系统最后报价操作详见交易平台发布的响应人多轮报价操作手册）；</w:t>
            </w:r>
          </w:p>
          <w:p>
            <w:pPr>
              <w:rPr>
                <w:rFonts w:asciiTheme="minorEastAsia" w:hAnsiTheme="minorEastAsia"/>
                <w:kern w:val="0"/>
                <w:szCs w:val="21"/>
                <w:lang w:eastAsia="zh-CN"/>
              </w:rPr>
            </w:pPr>
            <w:r>
              <w:rPr>
                <w:rFonts w:hint="eastAsia" w:asciiTheme="minorEastAsia" w:hAnsiTheme="minorEastAsia"/>
                <w:lang w:eastAsia="zh-CN"/>
              </w:rPr>
              <w:t>2、磋商小组采用综合评分法对提交最后报价的响应人的响应文件和最后报价进行综合评分。</w:t>
            </w:r>
          </w:p>
        </w:tc>
      </w:tr>
      <w:tr>
        <w:tblPrEx>
          <w:tblCellMar>
            <w:top w:w="0" w:type="dxa"/>
            <w:left w:w="0" w:type="dxa"/>
            <w:bottom w:w="0" w:type="dxa"/>
            <w:right w:w="0" w:type="dxa"/>
          </w:tblCellMar>
        </w:tblPrEx>
        <w:trPr>
          <w:trHeight w:val="449" w:hRule="exact"/>
        </w:trPr>
        <w:tc>
          <w:tcPr>
            <w:tcW w:w="1038" w:type="dxa"/>
            <w:tcBorders>
              <w:top w:val="single" w:color="000000" w:sz="4" w:space="0"/>
              <w:left w:val="single" w:color="000000" w:sz="4" w:space="0"/>
              <w:bottom w:val="single" w:color="000000" w:sz="4" w:space="0"/>
              <w:right w:val="single" w:color="000000" w:sz="4" w:space="0"/>
            </w:tcBorders>
            <w:vAlign w:val="center"/>
          </w:tcPr>
          <w:p>
            <w:pPr>
              <w:jc w:val="center"/>
              <w:rPr>
                <w:rFonts w:asciiTheme="minorEastAsia" w:hAnsiTheme="minorEastAsia"/>
                <w:kern w:val="0"/>
                <w:szCs w:val="21"/>
                <w:lang w:eastAsia="en-US"/>
              </w:rPr>
            </w:pPr>
            <w:r>
              <w:rPr>
                <w:rFonts w:asciiTheme="minorEastAsia" w:hAnsiTheme="minorEastAsia"/>
                <w:kern w:val="0"/>
                <w:szCs w:val="21"/>
                <w:lang w:eastAsia="en-US"/>
              </w:rPr>
              <w:t>3.3.1</w:t>
            </w:r>
          </w:p>
        </w:tc>
        <w:tc>
          <w:tcPr>
            <w:tcW w:w="2368" w:type="dxa"/>
            <w:tcBorders>
              <w:top w:val="single" w:color="000000" w:sz="4" w:space="0"/>
              <w:left w:val="single" w:color="000000" w:sz="4" w:space="0"/>
              <w:bottom w:val="single" w:color="000000" w:sz="4" w:space="0"/>
              <w:right w:val="single" w:color="000000" w:sz="4" w:space="0"/>
            </w:tcBorders>
            <w:vAlign w:val="center"/>
          </w:tcPr>
          <w:p>
            <w:pPr>
              <w:jc w:val="center"/>
              <w:rPr>
                <w:rFonts w:asciiTheme="minorEastAsia" w:hAnsiTheme="minorEastAsia"/>
                <w:kern w:val="0"/>
                <w:szCs w:val="21"/>
                <w:lang w:eastAsia="en-US"/>
              </w:rPr>
            </w:pPr>
            <w:r>
              <w:rPr>
                <w:rFonts w:hint="eastAsia" w:asciiTheme="minorEastAsia" w:hAnsiTheme="minorEastAsia"/>
                <w:kern w:val="0"/>
                <w:szCs w:val="21"/>
                <w:lang w:eastAsia="en-US"/>
              </w:rPr>
              <w:t>磋商</w:t>
            </w:r>
            <w:r>
              <w:rPr>
                <w:rFonts w:asciiTheme="minorEastAsia" w:hAnsiTheme="minorEastAsia"/>
                <w:kern w:val="0"/>
                <w:szCs w:val="21"/>
                <w:lang w:eastAsia="en-US"/>
              </w:rPr>
              <w:t>有效期</w:t>
            </w:r>
          </w:p>
        </w:tc>
        <w:tc>
          <w:tcPr>
            <w:tcW w:w="4910" w:type="dxa"/>
            <w:tcBorders>
              <w:top w:val="single" w:color="000000" w:sz="4" w:space="0"/>
              <w:left w:val="single" w:color="000000" w:sz="4" w:space="0"/>
              <w:bottom w:val="single" w:color="000000" w:sz="4" w:space="0"/>
              <w:right w:val="single" w:color="000000" w:sz="4" w:space="0"/>
            </w:tcBorders>
            <w:vAlign w:val="center"/>
          </w:tcPr>
          <w:p>
            <w:pPr>
              <w:rPr>
                <w:rFonts w:asciiTheme="minorEastAsia" w:hAnsiTheme="minorEastAsia"/>
                <w:kern w:val="0"/>
                <w:szCs w:val="21"/>
                <w:lang w:eastAsia="zh-CN"/>
              </w:rPr>
            </w:pPr>
            <w:r>
              <w:rPr>
                <w:rFonts w:hint="eastAsia" w:ascii="宋体" w:hAnsi="宋体" w:cs="宋体"/>
                <w:kern w:val="0"/>
                <w:szCs w:val="21"/>
                <w:lang w:eastAsia="zh-CN"/>
              </w:rPr>
              <w:t>响应文件截止之日起</w:t>
            </w:r>
            <w:r>
              <w:rPr>
                <w:rFonts w:hint="eastAsia" w:asciiTheme="minorEastAsia" w:hAnsiTheme="minorEastAsia"/>
                <w:kern w:val="0"/>
                <w:szCs w:val="21"/>
                <w:lang w:eastAsia="zh-CN"/>
              </w:rPr>
              <w:t>60日历天</w:t>
            </w:r>
          </w:p>
        </w:tc>
      </w:tr>
      <w:tr>
        <w:tblPrEx>
          <w:tblCellMar>
            <w:top w:w="0" w:type="dxa"/>
            <w:left w:w="0" w:type="dxa"/>
            <w:bottom w:w="0" w:type="dxa"/>
            <w:right w:w="0" w:type="dxa"/>
          </w:tblCellMar>
        </w:tblPrEx>
        <w:tc>
          <w:tcPr>
            <w:tcW w:w="1038" w:type="dxa"/>
            <w:tcBorders>
              <w:top w:val="single" w:color="000000" w:sz="4" w:space="0"/>
              <w:left w:val="single" w:color="000000" w:sz="4" w:space="0"/>
              <w:bottom w:val="single" w:color="000000" w:sz="4" w:space="0"/>
              <w:right w:val="single" w:color="000000" w:sz="4" w:space="0"/>
            </w:tcBorders>
            <w:vAlign w:val="center"/>
          </w:tcPr>
          <w:p>
            <w:pPr>
              <w:jc w:val="center"/>
              <w:rPr>
                <w:rFonts w:asciiTheme="minorEastAsia" w:hAnsiTheme="minorEastAsia"/>
                <w:kern w:val="0"/>
                <w:szCs w:val="21"/>
                <w:lang w:eastAsia="en-US"/>
              </w:rPr>
            </w:pPr>
            <w:r>
              <w:rPr>
                <w:rFonts w:asciiTheme="minorEastAsia" w:hAnsiTheme="minorEastAsia"/>
                <w:kern w:val="0"/>
                <w:szCs w:val="21"/>
                <w:lang w:eastAsia="en-US"/>
              </w:rPr>
              <w:t>3.4.1</w:t>
            </w:r>
          </w:p>
        </w:tc>
        <w:tc>
          <w:tcPr>
            <w:tcW w:w="2368" w:type="dxa"/>
            <w:tcBorders>
              <w:top w:val="single" w:color="000000" w:sz="4" w:space="0"/>
              <w:left w:val="single" w:color="000000" w:sz="4" w:space="0"/>
              <w:bottom w:val="single" w:color="000000" w:sz="4" w:space="0"/>
              <w:right w:val="single" w:color="000000" w:sz="4" w:space="0"/>
            </w:tcBorders>
            <w:vAlign w:val="center"/>
          </w:tcPr>
          <w:p>
            <w:pPr>
              <w:jc w:val="center"/>
              <w:rPr>
                <w:rFonts w:asciiTheme="minorEastAsia" w:hAnsiTheme="minorEastAsia"/>
                <w:kern w:val="0"/>
                <w:szCs w:val="21"/>
                <w:lang w:eastAsia="en-US"/>
              </w:rPr>
            </w:pPr>
            <w:r>
              <w:rPr>
                <w:rFonts w:hint="eastAsia" w:asciiTheme="minorEastAsia" w:hAnsiTheme="minorEastAsia"/>
                <w:kern w:val="0"/>
                <w:szCs w:val="21"/>
                <w:lang w:eastAsia="en-US"/>
              </w:rPr>
              <w:t>磋商</w:t>
            </w:r>
            <w:r>
              <w:rPr>
                <w:rFonts w:asciiTheme="minorEastAsia" w:hAnsiTheme="minorEastAsia"/>
                <w:kern w:val="0"/>
                <w:szCs w:val="21"/>
                <w:lang w:eastAsia="en-US"/>
              </w:rPr>
              <w:t>保证金</w:t>
            </w:r>
          </w:p>
        </w:tc>
        <w:tc>
          <w:tcPr>
            <w:tcW w:w="4910" w:type="dxa"/>
            <w:tcBorders>
              <w:top w:val="single" w:color="000000" w:sz="4" w:space="0"/>
              <w:left w:val="single" w:color="000000" w:sz="4" w:space="0"/>
              <w:bottom w:val="single" w:color="000000" w:sz="4" w:space="0"/>
              <w:right w:val="single" w:color="000000" w:sz="4" w:space="0"/>
            </w:tcBorders>
            <w:vAlign w:val="center"/>
          </w:tcPr>
          <w:p>
            <w:pPr>
              <w:rPr>
                <w:rFonts w:asciiTheme="minorEastAsia" w:hAnsiTheme="minorEastAsia"/>
                <w:kern w:val="0"/>
                <w:szCs w:val="21"/>
                <w:lang w:eastAsia="zh-CN"/>
              </w:rPr>
            </w:pPr>
            <w:r>
              <w:rPr>
                <w:rFonts w:asciiTheme="minorEastAsia" w:hAnsiTheme="minorEastAsia"/>
                <w:kern w:val="0"/>
                <w:szCs w:val="21"/>
                <w:lang w:eastAsia="zh-CN"/>
              </w:rPr>
              <w:t>不要求</w:t>
            </w:r>
            <w:r>
              <w:rPr>
                <w:rFonts w:hint="eastAsia" w:asciiTheme="minorEastAsia" w:hAnsiTheme="minorEastAsia"/>
                <w:kern w:val="0"/>
                <w:szCs w:val="21"/>
                <w:lang w:eastAsia="zh-CN"/>
              </w:rPr>
              <w:t>，根据《河南省财政厅关于优化政府采购营商环境有关问题的通知》豫财购（2019）4号要求，本项目不再收取磋商保证金，需提供磋商承诺函及采购代理服务费承诺函，具体格式详见第六章响应文件格式，未按竞争性磋商文件规定提交磋商承诺函及采购代理服务费承诺函的均视为无效响应。</w:t>
            </w:r>
          </w:p>
        </w:tc>
      </w:tr>
      <w:tr>
        <w:tblPrEx>
          <w:tblCellMar>
            <w:top w:w="0" w:type="dxa"/>
            <w:left w:w="0" w:type="dxa"/>
            <w:bottom w:w="0" w:type="dxa"/>
            <w:right w:w="0" w:type="dxa"/>
          </w:tblCellMar>
        </w:tblPrEx>
        <w:trPr>
          <w:trHeight w:val="757" w:hRule="exact"/>
        </w:trPr>
        <w:tc>
          <w:tcPr>
            <w:tcW w:w="1038" w:type="dxa"/>
            <w:tcBorders>
              <w:top w:val="single" w:color="000000" w:sz="4" w:space="0"/>
              <w:left w:val="single" w:color="000000" w:sz="4" w:space="0"/>
              <w:bottom w:val="single" w:color="000000" w:sz="4" w:space="0"/>
              <w:right w:val="single" w:color="000000" w:sz="4" w:space="0"/>
            </w:tcBorders>
            <w:vAlign w:val="center"/>
          </w:tcPr>
          <w:p>
            <w:pPr>
              <w:jc w:val="center"/>
              <w:rPr>
                <w:rFonts w:asciiTheme="minorEastAsia" w:hAnsiTheme="minorEastAsia"/>
                <w:kern w:val="0"/>
                <w:szCs w:val="21"/>
                <w:lang w:eastAsia="en-US"/>
              </w:rPr>
            </w:pPr>
            <w:r>
              <w:rPr>
                <w:rFonts w:asciiTheme="minorEastAsia" w:hAnsiTheme="minorEastAsia"/>
                <w:kern w:val="0"/>
                <w:szCs w:val="21"/>
                <w:lang w:eastAsia="en-US"/>
              </w:rPr>
              <w:t>3.5</w:t>
            </w:r>
          </w:p>
        </w:tc>
        <w:tc>
          <w:tcPr>
            <w:tcW w:w="2368" w:type="dxa"/>
            <w:tcBorders>
              <w:top w:val="single" w:color="000000" w:sz="4" w:space="0"/>
              <w:left w:val="single" w:color="000000" w:sz="4" w:space="0"/>
              <w:bottom w:val="single" w:color="000000" w:sz="4" w:space="0"/>
              <w:right w:val="single" w:color="000000" w:sz="4" w:space="0"/>
            </w:tcBorders>
            <w:vAlign w:val="center"/>
          </w:tcPr>
          <w:p>
            <w:pPr>
              <w:jc w:val="center"/>
              <w:rPr>
                <w:rFonts w:asciiTheme="minorEastAsia" w:hAnsiTheme="minorEastAsia"/>
                <w:kern w:val="0"/>
                <w:szCs w:val="21"/>
                <w:lang w:eastAsia="zh-CN"/>
              </w:rPr>
            </w:pPr>
            <w:r>
              <w:rPr>
                <w:rFonts w:asciiTheme="minorEastAsia" w:hAnsiTheme="minorEastAsia"/>
                <w:kern w:val="0"/>
                <w:szCs w:val="21"/>
                <w:lang w:eastAsia="zh-CN"/>
              </w:rPr>
              <w:t>资格审查资料的特殊要求</w:t>
            </w:r>
          </w:p>
        </w:tc>
        <w:tc>
          <w:tcPr>
            <w:tcW w:w="4910" w:type="dxa"/>
            <w:tcBorders>
              <w:top w:val="single" w:color="000000" w:sz="4" w:space="0"/>
              <w:left w:val="single" w:color="000000" w:sz="4" w:space="0"/>
              <w:bottom w:val="single" w:color="000000" w:sz="4" w:space="0"/>
              <w:right w:val="single" w:color="000000" w:sz="4" w:space="0"/>
            </w:tcBorders>
            <w:vAlign w:val="center"/>
          </w:tcPr>
          <w:p>
            <w:pPr>
              <w:rPr>
                <w:rFonts w:asciiTheme="minorEastAsia" w:hAnsiTheme="minorEastAsia"/>
                <w:kern w:val="0"/>
                <w:szCs w:val="21"/>
                <w:lang w:eastAsia="en-US"/>
              </w:rPr>
            </w:pPr>
            <w:r>
              <w:rPr>
                <w:rFonts w:asciiTheme="minorEastAsia" w:hAnsiTheme="minorEastAsia"/>
                <w:kern w:val="0"/>
                <w:szCs w:val="21"/>
                <w:lang w:eastAsia="en-US"/>
              </w:rPr>
              <w:t>无</w:t>
            </w:r>
          </w:p>
        </w:tc>
      </w:tr>
      <w:tr>
        <w:tblPrEx>
          <w:tblCellMar>
            <w:top w:w="0" w:type="dxa"/>
            <w:left w:w="0" w:type="dxa"/>
            <w:bottom w:w="0" w:type="dxa"/>
            <w:right w:w="0" w:type="dxa"/>
          </w:tblCellMar>
        </w:tblPrEx>
        <w:trPr>
          <w:trHeight w:val="724" w:hRule="exact"/>
        </w:trPr>
        <w:tc>
          <w:tcPr>
            <w:tcW w:w="1038" w:type="dxa"/>
            <w:tcBorders>
              <w:top w:val="single" w:color="000000" w:sz="4" w:space="0"/>
              <w:left w:val="single" w:color="000000" w:sz="4" w:space="0"/>
              <w:bottom w:val="single" w:color="000000" w:sz="4" w:space="0"/>
              <w:right w:val="single" w:color="000000" w:sz="4" w:space="0"/>
            </w:tcBorders>
            <w:vAlign w:val="center"/>
          </w:tcPr>
          <w:p>
            <w:pPr>
              <w:jc w:val="center"/>
              <w:rPr>
                <w:rFonts w:asciiTheme="minorEastAsia" w:hAnsiTheme="minorEastAsia"/>
                <w:kern w:val="0"/>
                <w:szCs w:val="21"/>
                <w:lang w:eastAsia="en-US"/>
              </w:rPr>
            </w:pPr>
            <w:r>
              <w:rPr>
                <w:rFonts w:asciiTheme="minorEastAsia" w:hAnsiTheme="minorEastAsia"/>
                <w:kern w:val="0"/>
                <w:szCs w:val="21"/>
                <w:lang w:eastAsia="en-US"/>
              </w:rPr>
              <w:t>3.6.1</w:t>
            </w:r>
          </w:p>
        </w:tc>
        <w:tc>
          <w:tcPr>
            <w:tcW w:w="2368" w:type="dxa"/>
            <w:tcBorders>
              <w:top w:val="single" w:color="000000" w:sz="4" w:space="0"/>
              <w:left w:val="single" w:color="000000" w:sz="4" w:space="0"/>
              <w:bottom w:val="single" w:color="000000" w:sz="4" w:space="0"/>
              <w:right w:val="single" w:color="000000" w:sz="4" w:space="0"/>
            </w:tcBorders>
            <w:vAlign w:val="center"/>
          </w:tcPr>
          <w:p>
            <w:pPr>
              <w:jc w:val="center"/>
              <w:rPr>
                <w:rFonts w:asciiTheme="minorEastAsia" w:hAnsiTheme="minorEastAsia"/>
                <w:kern w:val="0"/>
                <w:szCs w:val="21"/>
                <w:lang w:eastAsia="zh-CN"/>
              </w:rPr>
            </w:pPr>
            <w:r>
              <w:rPr>
                <w:rFonts w:asciiTheme="minorEastAsia" w:hAnsiTheme="minorEastAsia"/>
                <w:kern w:val="0"/>
                <w:szCs w:val="21"/>
                <w:lang w:eastAsia="zh-CN"/>
              </w:rPr>
              <w:t>是否允许提交备选</w:t>
            </w:r>
            <w:r>
              <w:rPr>
                <w:rFonts w:hint="eastAsia" w:asciiTheme="minorEastAsia" w:hAnsiTheme="minorEastAsia"/>
                <w:kern w:val="0"/>
                <w:szCs w:val="21"/>
                <w:lang w:eastAsia="zh-CN"/>
              </w:rPr>
              <w:t>磋商</w:t>
            </w:r>
            <w:r>
              <w:rPr>
                <w:rFonts w:asciiTheme="minorEastAsia" w:hAnsiTheme="minorEastAsia"/>
                <w:kern w:val="0"/>
                <w:szCs w:val="21"/>
                <w:lang w:eastAsia="zh-CN"/>
              </w:rPr>
              <w:t>方案</w:t>
            </w:r>
          </w:p>
        </w:tc>
        <w:tc>
          <w:tcPr>
            <w:tcW w:w="4910" w:type="dxa"/>
            <w:tcBorders>
              <w:top w:val="single" w:color="000000" w:sz="4" w:space="0"/>
              <w:left w:val="single" w:color="000000" w:sz="4" w:space="0"/>
              <w:bottom w:val="single" w:color="000000" w:sz="4" w:space="0"/>
              <w:right w:val="single" w:color="000000" w:sz="4" w:space="0"/>
            </w:tcBorders>
            <w:vAlign w:val="center"/>
          </w:tcPr>
          <w:p>
            <w:pPr>
              <w:rPr>
                <w:rFonts w:asciiTheme="minorEastAsia" w:hAnsiTheme="minorEastAsia"/>
                <w:kern w:val="0"/>
                <w:szCs w:val="21"/>
                <w:lang w:eastAsia="en-US"/>
              </w:rPr>
            </w:pPr>
            <w:r>
              <w:rPr>
                <w:rFonts w:asciiTheme="minorEastAsia" w:hAnsiTheme="minorEastAsia"/>
                <w:kern w:val="0"/>
                <w:szCs w:val="21"/>
                <w:lang w:eastAsia="en-US"/>
              </w:rPr>
              <w:t>不允许</w:t>
            </w:r>
          </w:p>
        </w:tc>
      </w:tr>
      <w:tr>
        <w:tblPrEx>
          <w:tblCellMar>
            <w:top w:w="0" w:type="dxa"/>
            <w:left w:w="0" w:type="dxa"/>
            <w:bottom w:w="0" w:type="dxa"/>
            <w:right w:w="0" w:type="dxa"/>
          </w:tblCellMar>
        </w:tblPrEx>
        <w:trPr>
          <w:trHeight w:val="976" w:hRule="exact"/>
        </w:trPr>
        <w:tc>
          <w:tcPr>
            <w:tcW w:w="1038" w:type="dxa"/>
            <w:tcBorders>
              <w:top w:val="single" w:color="000000" w:sz="4" w:space="0"/>
              <w:left w:val="single" w:color="000000" w:sz="4" w:space="0"/>
              <w:bottom w:val="single" w:color="000000" w:sz="4" w:space="0"/>
              <w:right w:val="single" w:color="000000" w:sz="4" w:space="0"/>
            </w:tcBorders>
            <w:vAlign w:val="center"/>
          </w:tcPr>
          <w:p>
            <w:pPr>
              <w:jc w:val="center"/>
              <w:rPr>
                <w:rFonts w:asciiTheme="minorEastAsia" w:hAnsiTheme="minorEastAsia"/>
                <w:kern w:val="0"/>
                <w:szCs w:val="21"/>
                <w:lang w:eastAsia="en-US"/>
              </w:rPr>
            </w:pPr>
            <w:r>
              <w:rPr>
                <w:rFonts w:asciiTheme="minorEastAsia" w:hAnsiTheme="minorEastAsia"/>
                <w:kern w:val="0"/>
                <w:szCs w:val="21"/>
                <w:lang w:eastAsia="en-US"/>
              </w:rPr>
              <w:t>3.7.3（</w:t>
            </w:r>
            <w:r>
              <w:rPr>
                <w:rFonts w:hint="eastAsia" w:asciiTheme="minorEastAsia" w:hAnsiTheme="minorEastAsia"/>
                <w:kern w:val="0"/>
                <w:szCs w:val="21"/>
                <w:lang w:eastAsia="en-US"/>
              </w:rPr>
              <w:t>1）</w:t>
            </w:r>
          </w:p>
        </w:tc>
        <w:tc>
          <w:tcPr>
            <w:tcW w:w="2368" w:type="dxa"/>
            <w:tcBorders>
              <w:top w:val="single" w:color="000000" w:sz="4" w:space="0"/>
              <w:left w:val="single" w:color="000000" w:sz="4" w:space="0"/>
              <w:bottom w:val="single" w:color="000000" w:sz="4" w:space="0"/>
              <w:right w:val="single" w:color="000000" w:sz="4" w:space="0"/>
            </w:tcBorders>
            <w:vAlign w:val="center"/>
          </w:tcPr>
          <w:p>
            <w:pPr>
              <w:jc w:val="center"/>
              <w:rPr>
                <w:rFonts w:asciiTheme="minorEastAsia" w:hAnsiTheme="minorEastAsia"/>
                <w:kern w:val="0"/>
                <w:szCs w:val="21"/>
                <w:lang w:eastAsia="zh-CN"/>
              </w:rPr>
            </w:pPr>
            <w:r>
              <w:rPr>
                <w:rFonts w:asciiTheme="minorEastAsia" w:hAnsiTheme="minorEastAsia"/>
                <w:kern w:val="0"/>
                <w:szCs w:val="21"/>
                <w:lang w:eastAsia="zh-CN"/>
              </w:rPr>
              <w:t>响应文件所附证书证件要求</w:t>
            </w:r>
          </w:p>
        </w:tc>
        <w:tc>
          <w:tcPr>
            <w:tcW w:w="4910" w:type="dxa"/>
            <w:tcBorders>
              <w:top w:val="single" w:color="000000" w:sz="4" w:space="0"/>
              <w:left w:val="single" w:color="000000" w:sz="4" w:space="0"/>
              <w:bottom w:val="single" w:color="000000" w:sz="4" w:space="0"/>
              <w:right w:val="single" w:color="000000" w:sz="4" w:space="0"/>
            </w:tcBorders>
            <w:vAlign w:val="center"/>
          </w:tcPr>
          <w:p>
            <w:pPr>
              <w:rPr>
                <w:rFonts w:asciiTheme="minorEastAsia" w:hAnsiTheme="minorEastAsia"/>
                <w:kern w:val="0"/>
                <w:szCs w:val="21"/>
                <w:lang w:eastAsia="en-US"/>
              </w:rPr>
            </w:pPr>
            <w:r>
              <w:rPr>
                <w:rFonts w:hint="eastAsia" w:asciiTheme="minorEastAsia" w:hAnsiTheme="minorEastAsia"/>
                <w:kern w:val="0"/>
                <w:szCs w:val="21"/>
                <w:lang w:eastAsia="en-US"/>
              </w:rPr>
              <w:t>扫描件</w:t>
            </w:r>
          </w:p>
        </w:tc>
      </w:tr>
      <w:tr>
        <w:tblPrEx>
          <w:tblCellMar>
            <w:top w:w="0" w:type="dxa"/>
            <w:left w:w="0" w:type="dxa"/>
            <w:bottom w:w="0" w:type="dxa"/>
            <w:right w:w="0" w:type="dxa"/>
          </w:tblCellMar>
        </w:tblPrEx>
        <w:tc>
          <w:tcPr>
            <w:tcW w:w="1038" w:type="dxa"/>
            <w:tcBorders>
              <w:top w:val="single" w:color="000000" w:sz="4" w:space="0"/>
              <w:left w:val="single" w:color="000000" w:sz="4" w:space="0"/>
              <w:bottom w:val="single" w:color="000000" w:sz="4" w:space="0"/>
              <w:right w:val="single" w:color="000000" w:sz="4" w:space="0"/>
            </w:tcBorders>
            <w:vAlign w:val="center"/>
          </w:tcPr>
          <w:p>
            <w:pPr>
              <w:jc w:val="center"/>
              <w:rPr>
                <w:rFonts w:asciiTheme="minorEastAsia" w:hAnsiTheme="minorEastAsia"/>
                <w:kern w:val="0"/>
                <w:szCs w:val="21"/>
                <w:lang w:eastAsia="en-US"/>
              </w:rPr>
            </w:pPr>
            <w:r>
              <w:rPr>
                <w:rFonts w:asciiTheme="minorEastAsia" w:hAnsiTheme="minorEastAsia"/>
                <w:kern w:val="0"/>
                <w:szCs w:val="21"/>
                <w:lang w:eastAsia="en-US"/>
              </w:rPr>
              <w:t>3.7.3（</w:t>
            </w:r>
            <w:r>
              <w:rPr>
                <w:rFonts w:hint="eastAsia" w:asciiTheme="minorEastAsia" w:hAnsiTheme="minorEastAsia"/>
                <w:kern w:val="0"/>
                <w:szCs w:val="21"/>
                <w:lang w:eastAsia="en-US"/>
              </w:rPr>
              <w:t>2</w:t>
            </w:r>
            <w:r>
              <w:rPr>
                <w:rFonts w:asciiTheme="minorEastAsia" w:hAnsiTheme="minorEastAsia"/>
                <w:kern w:val="0"/>
                <w:szCs w:val="21"/>
                <w:lang w:eastAsia="en-US"/>
              </w:rPr>
              <w:t>）</w:t>
            </w:r>
          </w:p>
        </w:tc>
        <w:tc>
          <w:tcPr>
            <w:tcW w:w="2368" w:type="dxa"/>
            <w:tcBorders>
              <w:top w:val="single" w:color="000000" w:sz="4" w:space="0"/>
              <w:left w:val="single" w:color="000000" w:sz="4" w:space="0"/>
              <w:bottom w:val="single" w:color="000000" w:sz="4" w:space="0"/>
              <w:right w:val="single" w:color="000000" w:sz="4" w:space="0"/>
            </w:tcBorders>
            <w:vAlign w:val="center"/>
          </w:tcPr>
          <w:p>
            <w:pPr>
              <w:jc w:val="center"/>
              <w:rPr>
                <w:rFonts w:asciiTheme="minorEastAsia" w:hAnsiTheme="minorEastAsia"/>
                <w:kern w:val="0"/>
                <w:szCs w:val="21"/>
                <w:lang w:eastAsia="zh-CN"/>
              </w:rPr>
            </w:pPr>
            <w:r>
              <w:rPr>
                <w:rFonts w:asciiTheme="minorEastAsia" w:hAnsiTheme="minorEastAsia"/>
                <w:kern w:val="0"/>
                <w:szCs w:val="21"/>
                <w:lang w:eastAsia="zh-CN"/>
              </w:rPr>
              <w:t>响应文件签字或盖章要求</w:t>
            </w:r>
          </w:p>
        </w:tc>
        <w:tc>
          <w:tcPr>
            <w:tcW w:w="4910" w:type="dxa"/>
            <w:tcBorders>
              <w:top w:val="single" w:color="000000" w:sz="4" w:space="0"/>
              <w:left w:val="single" w:color="000000" w:sz="4" w:space="0"/>
              <w:bottom w:val="single" w:color="000000" w:sz="4" w:space="0"/>
              <w:right w:val="single" w:color="000000" w:sz="4" w:space="0"/>
            </w:tcBorders>
            <w:vAlign w:val="center"/>
          </w:tcPr>
          <w:p>
            <w:pPr>
              <w:rPr>
                <w:rFonts w:asciiTheme="minorEastAsia" w:hAnsiTheme="minorEastAsia"/>
                <w:kern w:val="0"/>
                <w:szCs w:val="21"/>
                <w:lang w:eastAsia="zh-CN"/>
              </w:rPr>
            </w:pPr>
            <w:r>
              <w:rPr>
                <w:rFonts w:hint="eastAsia" w:hAnsi="宋体"/>
                <w:szCs w:val="21"/>
                <w:lang w:eastAsia="zh-CN"/>
              </w:rPr>
              <w:t>响应人在制作响应文件时，应将竞争性磋商文件格式中明确签字盖章的内容电子签章或加盖公章（包括企业电子签章或公章、个人电子签章或签名），并将所有不可编辑的扫描内容（包括营业执照、财务报告、纳税凭证等）加盖企业电子签章或加盖公章。</w:t>
            </w:r>
          </w:p>
        </w:tc>
      </w:tr>
      <w:tr>
        <w:tblPrEx>
          <w:tblCellMar>
            <w:top w:w="0" w:type="dxa"/>
            <w:left w:w="0" w:type="dxa"/>
            <w:bottom w:w="0" w:type="dxa"/>
            <w:right w:w="0" w:type="dxa"/>
          </w:tblCellMar>
        </w:tblPrEx>
        <w:trPr>
          <w:trHeight w:val="1417" w:hRule="exact"/>
        </w:trPr>
        <w:tc>
          <w:tcPr>
            <w:tcW w:w="1038" w:type="dxa"/>
            <w:tcBorders>
              <w:top w:val="single" w:color="000000" w:sz="4" w:space="0"/>
              <w:left w:val="single" w:color="000000" w:sz="4" w:space="0"/>
              <w:bottom w:val="single" w:color="000000" w:sz="4" w:space="0"/>
              <w:right w:val="single" w:color="000000" w:sz="4" w:space="0"/>
            </w:tcBorders>
            <w:vAlign w:val="center"/>
          </w:tcPr>
          <w:p>
            <w:pPr>
              <w:jc w:val="center"/>
              <w:rPr>
                <w:rFonts w:asciiTheme="minorEastAsia" w:hAnsiTheme="minorEastAsia"/>
                <w:kern w:val="0"/>
                <w:szCs w:val="21"/>
                <w:lang w:eastAsia="en-US"/>
              </w:rPr>
            </w:pPr>
            <w:r>
              <w:rPr>
                <w:rFonts w:asciiTheme="minorEastAsia" w:hAnsiTheme="minorEastAsia"/>
                <w:kern w:val="0"/>
                <w:szCs w:val="21"/>
                <w:lang w:eastAsia="en-US"/>
              </w:rPr>
              <w:t>4.1.1</w:t>
            </w:r>
          </w:p>
        </w:tc>
        <w:tc>
          <w:tcPr>
            <w:tcW w:w="2368" w:type="dxa"/>
            <w:tcBorders>
              <w:top w:val="single" w:color="000000" w:sz="4" w:space="0"/>
              <w:left w:val="single" w:color="000000" w:sz="4" w:space="0"/>
              <w:bottom w:val="single" w:color="000000" w:sz="4" w:space="0"/>
              <w:right w:val="single" w:color="000000" w:sz="4" w:space="0"/>
            </w:tcBorders>
            <w:vAlign w:val="center"/>
          </w:tcPr>
          <w:p>
            <w:pPr>
              <w:jc w:val="center"/>
              <w:rPr>
                <w:rFonts w:asciiTheme="minorEastAsia" w:hAnsiTheme="minorEastAsia"/>
                <w:kern w:val="0"/>
                <w:szCs w:val="21"/>
                <w:lang w:eastAsia="en-US"/>
              </w:rPr>
            </w:pPr>
            <w:r>
              <w:rPr>
                <w:rFonts w:asciiTheme="minorEastAsia" w:hAnsiTheme="minorEastAsia"/>
                <w:kern w:val="0"/>
                <w:szCs w:val="21"/>
                <w:lang w:eastAsia="en-US"/>
              </w:rPr>
              <w:t>响应文件加密要求</w:t>
            </w:r>
          </w:p>
        </w:tc>
        <w:tc>
          <w:tcPr>
            <w:tcW w:w="4910" w:type="dxa"/>
            <w:tcBorders>
              <w:top w:val="single" w:color="000000" w:sz="4" w:space="0"/>
              <w:left w:val="single" w:color="000000" w:sz="4" w:space="0"/>
              <w:bottom w:val="single" w:color="000000" w:sz="4" w:space="0"/>
              <w:right w:val="single" w:color="000000" w:sz="4" w:space="0"/>
            </w:tcBorders>
            <w:vAlign w:val="center"/>
          </w:tcPr>
          <w:p>
            <w:pPr>
              <w:rPr>
                <w:rFonts w:asciiTheme="minorEastAsia" w:hAnsiTheme="minorEastAsia"/>
                <w:kern w:val="0"/>
                <w:szCs w:val="21"/>
                <w:lang w:eastAsia="zh-CN"/>
              </w:rPr>
            </w:pPr>
            <w:r>
              <w:rPr>
                <w:rFonts w:hint="eastAsia" w:asciiTheme="minorEastAsia" w:hAnsiTheme="minorEastAsia"/>
                <w:kern w:val="0"/>
                <w:szCs w:val="21"/>
                <w:lang w:eastAsia="zh-CN"/>
              </w:rPr>
              <w:t>加密的电子响应文件为“郑州市公共资源交易中心网站（http://www.zzsggzy.com/）” 网站提供的“响应文件制作工具”软件制作生成的加密版响应文件。</w:t>
            </w:r>
          </w:p>
        </w:tc>
      </w:tr>
      <w:tr>
        <w:tblPrEx>
          <w:tblCellMar>
            <w:top w:w="0" w:type="dxa"/>
            <w:left w:w="0" w:type="dxa"/>
            <w:bottom w:w="0" w:type="dxa"/>
            <w:right w:w="0" w:type="dxa"/>
          </w:tblCellMar>
        </w:tblPrEx>
        <w:trPr>
          <w:trHeight w:val="468" w:hRule="exact"/>
        </w:trPr>
        <w:tc>
          <w:tcPr>
            <w:tcW w:w="1038" w:type="dxa"/>
            <w:tcBorders>
              <w:top w:val="single" w:color="000000" w:sz="4" w:space="0"/>
              <w:left w:val="single" w:color="000000" w:sz="4" w:space="0"/>
              <w:bottom w:val="single" w:color="000000" w:sz="4" w:space="0"/>
              <w:right w:val="single" w:color="000000" w:sz="4" w:space="0"/>
            </w:tcBorders>
            <w:vAlign w:val="center"/>
          </w:tcPr>
          <w:p>
            <w:pPr>
              <w:jc w:val="center"/>
              <w:rPr>
                <w:rFonts w:asciiTheme="minorEastAsia" w:hAnsiTheme="minorEastAsia"/>
                <w:kern w:val="0"/>
                <w:szCs w:val="21"/>
                <w:lang w:eastAsia="en-US"/>
              </w:rPr>
            </w:pPr>
            <w:r>
              <w:rPr>
                <w:rFonts w:asciiTheme="minorEastAsia" w:hAnsiTheme="minorEastAsia"/>
                <w:kern w:val="0"/>
                <w:szCs w:val="21"/>
                <w:lang w:eastAsia="en-US"/>
              </w:rPr>
              <w:t>4.2.1</w:t>
            </w:r>
          </w:p>
        </w:tc>
        <w:tc>
          <w:tcPr>
            <w:tcW w:w="2368"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Theme="minorEastAsia" w:hAnsiTheme="minorEastAsia"/>
                <w:color w:val="auto"/>
                <w:kern w:val="0"/>
                <w:szCs w:val="21"/>
                <w:lang w:eastAsia="zh-CN"/>
              </w:rPr>
            </w:pPr>
            <w:r>
              <w:rPr>
                <w:rFonts w:hint="eastAsia" w:asciiTheme="minorEastAsia" w:hAnsiTheme="minorEastAsia"/>
                <w:color w:val="auto"/>
                <w:kern w:val="0"/>
                <w:szCs w:val="21"/>
                <w:lang w:eastAsia="zh-CN"/>
              </w:rPr>
              <w:t>提交响应文件截止时间</w:t>
            </w:r>
          </w:p>
        </w:tc>
        <w:tc>
          <w:tcPr>
            <w:tcW w:w="4910" w:type="dxa"/>
            <w:tcBorders>
              <w:top w:val="single" w:color="000000" w:sz="4" w:space="0"/>
              <w:left w:val="single" w:color="000000" w:sz="4" w:space="0"/>
              <w:bottom w:val="single" w:color="000000" w:sz="4" w:space="0"/>
              <w:right w:val="single" w:color="000000" w:sz="4" w:space="0"/>
            </w:tcBorders>
            <w:vAlign w:val="center"/>
          </w:tcPr>
          <w:p>
            <w:pPr>
              <w:jc w:val="both"/>
              <w:rPr>
                <w:rFonts w:hint="default" w:asciiTheme="minorEastAsia" w:hAnsiTheme="minorEastAsia"/>
                <w:color w:val="auto"/>
                <w:kern w:val="0"/>
                <w:szCs w:val="21"/>
                <w:lang w:val="en-US" w:eastAsia="zh-CN"/>
              </w:rPr>
            </w:pPr>
            <w:r>
              <w:rPr>
                <w:rFonts w:hint="eastAsia" w:asciiTheme="minorEastAsia" w:hAnsiTheme="minorEastAsia"/>
                <w:color w:val="auto"/>
                <w:kern w:val="0"/>
                <w:szCs w:val="21"/>
                <w:lang w:val="zh-CN" w:eastAsia="en-US"/>
              </w:rPr>
              <w:t>2020年</w:t>
            </w:r>
            <w:r>
              <w:rPr>
                <w:rFonts w:hint="eastAsia" w:asciiTheme="minorEastAsia" w:hAnsiTheme="minorEastAsia"/>
                <w:color w:val="auto"/>
                <w:kern w:val="0"/>
                <w:szCs w:val="21"/>
                <w:lang w:val="en-US" w:eastAsia="zh-CN"/>
              </w:rPr>
              <w:t>9</w:t>
            </w:r>
            <w:r>
              <w:rPr>
                <w:rFonts w:hint="eastAsia" w:asciiTheme="minorEastAsia" w:hAnsiTheme="minorEastAsia"/>
                <w:color w:val="auto"/>
                <w:kern w:val="0"/>
                <w:szCs w:val="21"/>
                <w:lang w:val="zh-CN" w:eastAsia="en-US"/>
              </w:rPr>
              <w:t>月</w:t>
            </w:r>
            <w:r>
              <w:rPr>
                <w:rFonts w:hint="eastAsia" w:asciiTheme="minorEastAsia" w:hAnsiTheme="minorEastAsia"/>
                <w:color w:val="auto"/>
                <w:kern w:val="0"/>
                <w:szCs w:val="21"/>
                <w:lang w:val="en-US" w:eastAsia="zh-CN"/>
              </w:rPr>
              <w:t>7</w:t>
            </w:r>
            <w:r>
              <w:rPr>
                <w:rFonts w:hint="eastAsia" w:asciiTheme="minorEastAsia" w:hAnsiTheme="minorEastAsia"/>
                <w:color w:val="auto"/>
                <w:kern w:val="0"/>
                <w:szCs w:val="21"/>
                <w:lang w:val="zh-CN" w:eastAsia="en-US"/>
              </w:rPr>
              <w:t>日</w:t>
            </w:r>
            <w:r>
              <w:rPr>
                <w:rFonts w:hint="eastAsia" w:asciiTheme="minorEastAsia" w:hAnsiTheme="minorEastAsia"/>
                <w:color w:val="auto"/>
                <w:kern w:val="0"/>
                <w:szCs w:val="21"/>
                <w:lang w:val="en-US" w:eastAsia="zh-CN"/>
              </w:rPr>
              <w:t>10</w:t>
            </w:r>
            <w:r>
              <w:rPr>
                <w:rFonts w:hint="eastAsia" w:asciiTheme="minorEastAsia" w:hAnsiTheme="minorEastAsia"/>
                <w:color w:val="auto"/>
                <w:kern w:val="0"/>
                <w:szCs w:val="21"/>
                <w:lang w:val="zh-CN" w:eastAsia="en-US"/>
              </w:rPr>
              <w:t>时</w:t>
            </w:r>
            <w:r>
              <w:rPr>
                <w:rFonts w:hint="eastAsia" w:asciiTheme="minorEastAsia" w:hAnsiTheme="minorEastAsia"/>
                <w:color w:val="auto"/>
                <w:kern w:val="0"/>
                <w:szCs w:val="21"/>
                <w:lang w:val="zh-CN" w:eastAsia="zh-CN"/>
              </w:rPr>
              <w:t>00</w:t>
            </w:r>
            <w:r>
              <w:rPr>
                <w:rFonts w:hint="eastAsia" w:asciiTheme="minorEastAsia" w:hAnsiTheme="minorEastAsia"/>
                <w:color w:val="auto"/>
                <w:kern w:val="0"/>
                <w:szCs w:val="21"/>
                <w:lang w:val="en-US" w:eastAsia="zh-CN"/>
              </w:rPr>
              <w:t>分</w:t>
            </w:r>
          </w:p>
        </w:tc>
      </w:tr>
      <w:tr>
        <w:tblPrEx>
          <w:tblCellMar>
            <w:top w:w="0" w:type="dxa"/>
            <w:left w:w="0" w:type="dxa"/>
            <w:bottom w:w="0" w:type="dxa"/>
            <w:right w:w="0" w:type="dxa"/>
          </w:tblCellMar>
        </w:tblPrEx>
        <w:trPr>
          <w:trHeight w:val="688" w:hRule="exact"/>
        </w:trPr>
        <w:tc>
          <w:tcPr>
            <w:tcW w:w="1038" w:type="dxa"/>
            <w:tcBorders>
              <w:top w:val="single" w:color="000000" w:sz="4" w:space="0"/>
              <w:left w:val="single" w:color="000000" w:sz="4" w:space="0"/>
              <w:bottom w:val="single" w:color="000000" w:sz="4" w:space="0"/>
              <w:right w:val="single" w:color="000000" w:sz="4" w:space="0"/>
            </w:tcBorders>
            <w:vAlign w:val="center"/>
          </w:tcPr>
          <w:p>
            <w:pPr>
              <w:jc w:val="center"/>
              <w:rPr>
                <w:rFonts w:asciiTheme="minorEastAsia" w:hAnsiTheme="minorEastAsia"/>
                <w:kern w:val="0"/>
                <w:szCs w:val="21"/>
                <w:lang w:eastAsia="en-US"/>
              </w:rPr>
            </w:pPr>
            <w:r>
              <w:rPr>
                <w:rFonts w:asciiTheme="minorEastAsia" w:hAnsiTheme="minorEastAsia"/>
                <w:kern w:val="0"/>
                <w:szCs w:val="21"/>
                <w:lang w:eastAsia="en-US"/>
              </w:rPr>
              <w:t>4.2.2</w:t>
            </w:r>
          </w:p>
        </w:tc>
        <w:tc>
          <w:tcPr>
            <w:tcW w:w="2368" w:type="dxa"/>
            <w:tcBorders>
              <w:top w:val="single" w:color="000000" w:sz="4" w:space="0"/>
              <w:left w:val="single" w:color="000000" w:sz="4" w:space="0"/>
              <w:bottom w:val="single" w:color="000000" w:sz="4" w:space="0"/>
              <w:right w:val="single" w:color="000000" w:sz="4" w:space="0"/>
            </w:tcBorders>
            <w:vAlign w:val="center"/>
          </w:tcPr>
          <w:p>
            <w:pPr>
              <w:jc w:val="center"/>
              <w:rPr>
                <w:rFonts w:asciiTheme="minorEastAsia" w:hAnsiTheme="minorEastAsia"/>
                <w:kern w:val="0"/>
                <w:szCs w:val="21"/>
                <w:lang w:eastAsia="en-US"/>
              </w:rPr>
            </w:pPr>
            <w:r>
              <w:rPr>
                <w:rFonts w:hint="eastAsia" w:asciiTheme="minorEastAsia" w:hAnsiTheme="minorEastAsia"/>
                <w:kern w:val="0"/>
                <w:szCs w:val="21"/>
                <w:lang w:eastAsia="en-US"/>
              </w:rPr>
              <w:t>提交</w:t>
            </w:r>
            <w:r>
              <w:rPr>
                <w:rFonts w:asciiTheme="minorEastAsia" w:hAnsiTheme="minorEastAsia"/>
                <w:kern w:val="0"/>
                <w:szCs w:val="21"/>
                <w:lang w:eastAsia="en-US"/>
              </w:rPr>
              <w:t>响应文件地点</w:t>
            </w:r>
          </w:p>
        </w:tc>
        <w:tc>
          <w:tcPr>
            <w:tcW w:w="4910" w:type="dxa"/>
            <w:tcBorders>
              <w:top w:val="single" w:color="000000" w:sz="4" w:space="0"/>
              <w:left w:val="single" w:color="000000" w:sz="4" w:space="0"/>
              <w:bottom w:val="single" w:color="000000" w:sz="4" w:space="0"/>
              <w:right w:val="single" w:color="000000" w:sz="4" w:space="0"/>
            </w:tcBorders>
            <w:vAlign w:val="center"/>
          </w:tcPr>
          <w:p>
            <w:pPr>
              <w:rPr>
                <w:rFonts w:asciiTheme="minorEastAsia" w:hAnsiTheme="minorEastAsia"/>
                <w:kern w:val="0"/>
                <w:szCs w:val="21"/>
                <w:lang w:eastAsia="zh-CN"/>
              </w:rPr>
            </w:pPr>
            <w:r>
              <w:rPr>
                <w:rFonts w:hint="eastAsia" w:asciiTheme="minorEastAsia" w:hAnsiTheme="minorEastAsia"/>
                <w:color w:val="auto"/>
                <w:kern w:val="0"/>
                <w:szCs w:val="21"/>
                <w:lang w:eastAsia="zh-CN"/>
              </w:rPr>
              <w:t>郑州市公共资源交易中心六楼</w:t>
            </w:r>
            <w:r>
              <w:rPr>
                <w:rFonts w:hint="eastAsia" w:asciiTheme="minorEastAsia" w:hAnsiTheme="minorEastAsia"/>
                <w:color w:val="auto"/>
                <w:kern w:val="0"/>
                <w:szCs w:val="21"/>
                <w:lang w:val="en-US" w:eastAsia="zh-CN"/>
              </w:rPr>
              <w:t>B</w:t>
            </w:r>
            <w:r>
              <w:rPr>
                <w:rFonts w:hint="eastAsia" w:asciiTheme="minorEastAsia" w:hAnsiTheme="minorEastAsia"/>
                <w:color w:val="auto"/>
                <w:kern w:val="0"/>
                <w:szCs w:val="21"/>
                <w:lang w:val="zh-CN" w:eastAsia="zh-CN"/>
              </w:rPr>
              <w:t>区第</w:t>
            </w:r>
            <w:r>
              <w:rPr>
                <w:rFonts w:hint="eastAsia" w:asciiTheme="minorEastAsia" w:hAnsiTheme="minorEastAsia"/>
                <w:color w:val="auto"/>
                <w:kern w:val="0"/>
                <w:szCs w:val="21"/>
                <w:lang w:val="en-US" w:eastAsia="zh-CN"/>
              </w:rPr>
              <w:t>十七</w:t>
            </w:r>
            <w:r>
              <w:rPr>
                <w:rFonts w:hint="eastAsia" w:asciiTheme="minorEastAsia" w:hAnsiTheme="minorEastAsia"/>
                <w:color w:val="auto"/>
                <w:kern w:val="0"/>
                <w:szCs w:val="21"/>
                <w:lang w:eastAsia="zh-CN"/>
              </w:rPr>
              <w:t>开标室（郑州市中原西路与图强路交叉口郑发大厦）</w:t>
            </w:r>
          </w:p>
        </w:tc>
      </w:tr>
      <w:tr>
        <w:tblPrEx>
          <w:tblCellMar>
            <w:top w:w="0" w:type="dxa"/>
            <w:left w:w="0" w:type="dxa"/>
            <w:bottom w:w="0" w:type="dxa"/>
            <w:right w:w="0" w:type="dxa"/>
          </w:tblCellMar>
        </w:tblPrEx>
        <w:trPr>
          <w:trHeight w:val="645" w:hRule="exact"/>
        </w:trPr>
        <w:tc>
          <w:tcPr>
            <w:tcW w:w="1038" w:type="dxa"/>
            <w:tcBorders>
              <w:top w:val="single" w:color="000000" w:sz="4" w:space="0"/>
              <w:left w:val="single" w:color="000000" w:sz="4" w:space="0"/>
              <w:bottom w:val="single" w:color="000000" w:sz="4" w:space="0"/>
              <w:right w:val="single" w:color="000000" w:sz="4" w:space="0"/>
            </w:tcBorders>
            <w:vAlign w:val="center"/>
          </w:tcPr>
          <w:p>
            <w:pPr>
              <w:jc w:val="center"/>
              <w:rPr>
                <w:rFonts w:asciiTheme="minorEastAsia" w:hAnsiTheme="minorEastAsia"/>
                <w:kern w:val="0"/>
                <w:szCs w:val="21"/>
                <w:lang w:eastAsia="en-US"/>
              </w:rPr>
            </w:pPr>
            <w:r>
              <w:rPr>
                <w:rFonts w:asciiTheme="minorEastAsia" w:hAnsiTheme="minorEastAsia"/>
                <w:kern w:val="0"/>
                <w:szCs w:val="21"/>
                <w:lang w:eastAsia="en-US"/>
              </w:rPr>
              <w:t>4.2.3</w:t>
            </w:r>
          </w:p>
        </w:tc>
        <w:tc>
          <w:tcPr>
            <w:tcW w:w="2368" w:type="dxa"/>
            <w:tcBorders>
              <w:top w:val="single" w:color="000000" w:sz="4" w:space="0"/>
              <w:left w:val="single" w:color="000000" w:sz="4" w:space="0"/>
              <w:bottom w:val="single" w:color="000000" w:sz="4" w:space="0"/>
              <w:right w:val="single" w:color="000000" w:sz="4" w:space="0"/>
            </w:tcBorders>
            <w:vAlign w:val="center"/>
          </w:tcPr>
          <w:p>
            <w:pPr>
              <w:jc w:val="center"/>
              <w:rPr>
                <w:rFonts w:asciiTheme="minorEastAsia" w:hAnsiTheme="minorEastAsia"/>
                <w:kern w:val="0"/>
                <w:szCs w:val="21"/>
                <w:lang w:eastAsia="en-US"/>
              </w:rPr>
            </w:pPr>
            <w:r>
              <w:rPr>
                <w:rFonts w:asciiTheme="minorEastAsia" w:hAnsiTheme="minorEastAsia"/>
                <w:kern w:val="0"/>
                <w:szCs w:val="21"/>
                <w:lang w:eastAsia="en-US"/>
              </w:rPr>
              <w:t>响应文件是否退还</w:t>
            </w:r>
          </w:p>
        </w:tc>
        <w:tc>
          <w:tcPr>
            <w:tcW w:w="4910" w:type="dxa"/>
            <w:tcBorders>
              <w:top w:val="single" w:color="000000" w:sz="4" w:space="0"/>
              <w:left w:val="single" w:color="000000" w:sz="4" w:space="0"/>
              <w:bottom w:val="single" w:color="000000" w:sz="4" w:space="0"/>
              <w:right w:val="single" w:color="000000" w:sz="4" w:space="0"/>
            </w:tcBorders>
            <w:vAlign w:val="center"/>
          </w:tcPr>
          <w:p>
            <w:pPr>
              <w:rPr>
                <w:rFonts w:asciiTheme="minorEastAsia" w:hAnsiTheme="minorEastAsia"/>
                <w:kern w:val="0"/>
                <w:szCs w:val="21"/>
                <w:lang w:eastAsia="en-US"/>
              </w:rPr>
            </w:pPr>
            <w:r>
              <w:rPr>
                <w:rFonts w:asciiTheme="minorEastAsia" w:hAnsiTheme="minorEastAsia"/>
                <w:kern w:val="0"/>
                <w:szCs w:val="21"/>
                <w:lang w:eastAsia="en-US"/>
              </w:rPr>
              <w:t>否</w:t>
            </w:r>
          </w:p>
        </w:tc>
      </w:tr>
      <w:tr>
        <w:tblPrEx>
          <w:tblCellMar>
            <w:top w:w="0" w:type="dxa"/>
            <w:left w:w="0" w:type="dxa"/>
            <w:bottom w:w="0" w:type="dxa"/>
            <w:right w:w="0" w:type="dxa"/>
          </w:tblCellMar>
        </w:tblPrEx>
        <w:trPr>
          <w:trHeight w:val="774" w:hRule="exact"/>
        </w:trPr>
        <w:tc>
          <w:tcPr>
            <w:tcW w:w="1038" w:type="dxa"/>
            <w:tcBorders>
              <w:top w:val="single" w:color="000000" w:sz="4" w:space="0"/>
              <w:left w:val="single" w:color="000000" w:sz="4" w:space="0"/>
              <w:bottom w:val="single" w:color="000000" w:sz="4" w:space="0"/>
              <w:right w:val="single" w:color="000000" w:sz="4" w:space="0"/>
            </w:tcBorders>
            <w:vAlign w:val="center"/>
          </w:tcPr>
          <w:p>
            <w:pPr>
              <w:jc w:val="center"/>
              <w:rPr>
                <w:rFonts w:asciiTheme="minorEastAsia" w:hAnsiTheme="minorEastAsia"/>
                <w:kern w:val="0"/>
                <w:szCs w:val="21"/>
                <w:lang w:eastAsia="en-US"/>
              </w:rPr>
            </w:pPr>
            <w:r>
              <w:rPr>
                <w:rFonts w:asciiTheme="minorEastAsia" w:hAnsiTheme="minorEastAsia"/>
                <w:kern w:val="0"/>
                <w:szCs w:val="21"/>
                <w:lang w:eastAsia="en-US"/>
              </w:rPr>
              <w:t>5.1</w:t>
            </w:r>
          </w:p>
        </w:tc>
        <w:tc>
          <w:tcPr>
            <w:tcW w:w="2368" w:type="dxa"/>
            <w:tcBorders>
              <w:top w:val="single" w:color="000000" w:sz="4" w:space="0"/>
              <w:left w:val="single" w:color="000000" w:sz="4" w:space="0"/>
              <w:bottom w:val="single" w:color="000000" w:sz="4" w:space="0"/>
              <w:right w:val="single" w:color="000000" w:sz="4" w:space="0"/>
            </w:tcBorders>
            <w:vAlign w:val="center"/>
          </w:tcPr>
          <w:p>
            <w:pPr>
              <w:jc w:val="center"/>
              <w:rPr>
                <w:rFonts w:asciiTheme="minorEastAsia" w:hAnsiTheme="minorEastAsia"/>
                <w:kern w:val="0"/>
                <w:szCs w:val="21"/>
                <w:lang w:eastAsia="en-US"/>
              </w:rPr>
            </w:pPr>
            <w:r>
              <w:rPr>
                <w:rFonts w:asciiTheme="minorEastAsia" w:hAnsiTheme="minorEastAsia"/>
                <w:kern w:val="0"/>
                <w:szCs w:val="21"/>
                <w:lang w:eastAsia="en-US"/>
              </w:rPr>
              <w:t>开标时间和地点</w:t>
            </w:r>
          </w:p>
        </w:tc>
        <w:tc>
          <w:tcPr>
            <w:tcW w:w="4910" w:type="dxa"/>
            <w:tcBorders>
              <w:top w:val="single" w:color="000000" w:sz="4" w:space="0"/>
              <w:left w:val="single" w:color="000000" w:sz="4" w:space="0"/>
              <w:bottom w:val="single" w:color="000000" w:sz="4" w:space="0"/>
              <w:right w:val="single" w:color="000000" w:sz="4" w:space="0"/>
            </w:tcBorders>
            <w:vAlign w:val="center"/>
          </w:tcPr>
          <w:p>
            <w:pPr>
              <w:rPr>
                <w:rFonts w:asciiTheme="minorEastAsia" w:hAnsiTheme="minorEastAsia"/>
                <w:kern w:val="0"/>
                <w:szCs w:val="21"/>
                <w:lang w:eastAsia="zh-CN"/>
              </w:rPr>
            </w:pPr>
            <w:r>
              <w:rPr>
                <w:rFonts w:asciiTheme="minorEastAsia" w:hAnsiTheme="minorEastAsia"/>
                <w:kern w:val="0"/>
                <w:szCs w:val="21"/>
                <w:lang w:eastAsia="zh-CN"/>
              </w:rPr>
              <w:t>开标时间：同</w:t>
            </w:r>
            <w:r>
              <w:rPr>
                <w:rFonts w:hint="eastAsia" w:asciiTheme="minorEastAsia" w:hAnsiTheme="minorEastAsia"/>
                <w:kern w:val="0"/>
                <w:szCs w:val="21"/>
                <w:lang w:eastAsia="zh-CN"/>
              </w:rPr>
              <w:t>提交响应文件</w:t>
            </w:r>
            <w:r>
              <w:rPr>
                <w:rFonts w:asciiTheme="minorEastAsia" w:hAnsiTheme="minorEastAsia"/>
                <w:kern w:val="0"/>
                <w:szCs w:val="21"/>
                <w:lang w:eastAsia="zh-CN"/>
              </w:rPr>
              <w:t>截止时间</w:t>
            </w:r>
          </w:p>
          <w:p>
            <w:pPr>
              <w:rPr>
                <w:rFonts w:asciiTheme="minorEastAsia" w:hAnsiTheme="minorEastAsia"/>
                <w:kern w:val="0"/>
                <w:szCs w:val="21"/>
                <w:lang w:eastAsia="zh-CN"/>
              </w:rPr>
            </w:pPr>
            <w:r>
              <w:rPr>
                <w:rFonts w:asciiTheme="minorEastAsia" w:hAnsiTheme="minorEastAsia"/>
                <w:kern w:val="0"/>
                <w:szCs w:val="21"/>
                <w:lang w:eastAsia="zh-CN"/>
              </w:rPr>
              <w:t>开标地点：</w:t>
            </w:r>
            <w:r>
              <w:rPr>
                <w:rFonts w:hint="eastAsia" w:asciiTheme="minorEastAsia" w:hAnsiTheme="minorEastAsia"/>
                <w:kern w:val="0"/>
                <w:szCs w:val="21"/>
                <w:lang w:eastAsia="zh-CN"/>
              </w:rPr>
              <w:t>同提交</w:t>
            </w:r>
            <w:r>
              <w:rPr>
                <w:rFonts w:asciiTheme="minorEastAsia" w:hAnsiTheme="minorEastAsia"/>
                <w:kern w:val="0"/>
                <w:szCs w:val="21"/>
                <w:lang w:eastAsia="zh-CN"/>
              </w:rPr>
              <w:t>响应文件地点</w:t>
            </w:r>
          </w:p>
        </w:tc>
      </w:tr>
      <w:tr>
        <w:tblPrEx>
          <w:tblCellMar>
            <w:top w:w="0" w:type="dxa"/>
            <w:left w:w="0" w:type="dxa"/>
            <w:bottom w:w="0" w:type="dxa"/>
            <w:right w:w="0" w:type="dxa"/>
          </w:tblCellMar>
        </w:tblPrEx>
        <w:trPr>
          <w:trHeight w:val="1177" w:hRule="exact"/>
        </w:trPr>
        <w:tc>
          <w:tcPr>
            <w:tcW w:w="1038" w:type="dxa"/>
            <w:tcBorders>
              <w:top w:val="single" w:color="000000" w:sz="4" w:space="0"/>
              <w:left w:val="single" w:color="000000" w:sz="4" w:space="0"/>
              <w:bottom w:val="single" w:color="000000" w:sz="4" w:space="0"/>
              <w:right w:val="single" w:color="000000" w:sz="4" w:space="0"/>
            </w:tcBorders>
            <w:vAlign w:val="center"/>
          </w:tcPr>
          <w:p>
            <w:pPr>
              <w:jc w:val="center"/>
              <w:rPr>
                <w:rFonts w:asciiTheme="minorEastAsia" w:hAnsiTheme="minorEastAsia"/>
                <w:kern w:val="0"/>
                <w:szCs w:val="21"/>
                <w:lang w:eastAsia="en-US"/>
              </w:rPr>
            </w:pPr>
            <w:r>
              <w:rPr>
                <w:rFonts w:asciiTheme="minorEastAsia" w:hAnsiTheme="minorEastAsia"/>
                <w:kern w:val="0"/>
                <w:szCs w:val="21"/>
                <w:lang w:eastAsia="en-US"/>
              </w:rPr>
              <w:t>6.1.1</w:t>
            </w:r>
          </w:p>
        </w:tc>
        <w:tc>
          <w:tcPr>
            <w:tcW w:w="2368" w:type="dxa"/>
            <w:tcBorders>
              <w:top w:val="single" w:color="000000" w:sz="4" w:space="0"/>
              <w:left w:val="single" w:color="000000" w:sz="4" w:space="0"/>
              <w:bottom w:val="single" w:color="000000" w:sz="4" w:space="0"/>
              <w:right w:val="single" w:color="000000" w:sz="4" w:space="0"/>
            </w:tcBorders>
            <w:vAlign w:val="center"/>
          </w:tcPr>
          <w:p>
            <w:pPr>
              <w:jc w:val="center"/>
              <w:rPr>
                <w:rFonts w:asciiTheme="minorEastAsia" w:hAnsiTheme="minorEastAsia"/>
                <w:kern w:val="0"/>
                <w:szCs w:val="21"/>
                <w:lang w:eastAsia="en-US"/>
              </w:rPr>
            </w:pPr>
            <w:r>
              <w:rPr>
                <w:rFonts w:asciiTheme="minorEastAsia" w:hAnsiTheme="minorEastAsia"/>
                <w:kern w:val="0"/>
                <w:szCs w:val="21"/>
                <w:lang w:eastAsia="en-US"/>
              </w:rPr>
              <w:t>磋商小组的组建</w:t>
            </w:r>
          </w:p>
        </w:tc>
        <w:tc>
          <w:tcPr>
            <w:tcW w:w="4910" w:type="dxa"/>
            <w:tcBorders>
              <w:top w:val="single" w:color="000000" w:sz="4" w:space="0"/>
              <w:left w:val="single" w:color="000000" w:sz="4" w:space="0"/>
              <w:bottom w:val="single" w:color="000000" w:sz="4" w:space="0"/>
              <w:right w:val="single" w:color="000000" w:sz="4" w:space="0"/>
            </w:tcBorders>
            <w:vAlign w:val="center"/>
          </w:tcPr>
          <w:p>
            <w:pPr>
              <w:rPr>
                <w:rFonts w:asciiTheme="minorEastAsia" w:hAnsiTheme="minorEastAsia"/>
                <w:kern w:val="0"/>
                <w:szCs w:val="21"/>
                <w:lang w:eastAsia="zh-CN"/>
              </w:rPr>
            </w:pPr>
            <w:r>
              <w:rPr>
                <w:rFonts w:asciiTheme="minorEastAsia" w:hAnsiTheme="minorEastAsia"/>
                <w:kern w:val="0"/>
                <w:szCs w:val="21"/>
                <w:lang w:eastAsia="zh-CN"/>
              </w:rPr>
              <w:t>磋商小组构成：</w:t>
            </w:r>
            <w:r>
              <w:rPr>
                <w:rFonts w:hint="eastAsia" w:asciiTheme="minorEastAsia" w:hAnsiTheme="minorEastAsia"/>
                <w:kern w:val="0"/>
                <w:szCs w:val="21"/>
                <w:lang w:eastAsia="zh-CN"/>
              </w:rPr>
              <w:t>3</w:t>
            </w:r>
            <w:r>
              <w:rPr>
                <w:rFonts w:asciiTheme="minorEastAsia" w:hAnsiTheme="minorEastAsia"/>
                <w:kern w:val="0"/>
                <w:szCs w:val="21"/>
                <w:lang w:eastAsia="zh-CN"/>
              </w:rPr>
              <w:t>人</w:t>
            </w:r>
            <w:r>
              <w:rPr>
                <w:rFonts w:hint="eastAsia" w:asciiTheme="minorEastAsia" w:hAnsiTheme="minorEastAsia"/>
                <w:kern w:val="0"/>
                <w:szCs w:val="21"/>
                <w:lang w:eastAsia="zh-CN"/>
              </w:rPr>
              <w:t>，</w:t>
            </w:r>
          </w:p>
          <w:p>
            <w:pPr>
              <w:rPr>
                <w:rFonts w:asciiTheme="minorEastAsia" w:hAnsiTheme="minorEastAsia"/>
                <w:kern w:val="0"/>
                <w:szCs w:val="21"/>
                <w:lang w:eastAsia="zh-CN"/>
              </w:rPr>
            </w:pPr>
            <w:r>
              <w:rPr>
                <w:rFonts w:asciiTheme="minorEastAsia" w:hAnsiTheme="minorEastAsia"/>
                <w:kern w:val="0"/>
                <w:szCs w:val="21"/>
                <w:lang w:eastAsia="zh-CN"/>
              </w:rPr>
              <w:t>评标专家确定方式：</w:t>
            </w:r>
            <w:r>
              <w:rPr>
                <w:rFonts w:hint="eastAsia" w:asciiTheme="minorEastAsia" w:hAnsiTheme="minorEastAsia"/>
                <w:kern w:val="0"/>
                <w:szCs w:val="21"/>
                <w:lang w:eastAsia="zh-CN"/>
              </w:rPr>
              <w:t>财政部门指定专家库中随机抽取</w:t>
            </w:r>
          </w:p>
        </w:tc>
      </w:tr>
      <w:tr>
        <w:tblPrEx>
          <w:tblCellMar>
            <w:top w:w="0" w:type="dxa"/>
            <w:left w:w="0" w:type="dxa"/>
            <w:bottom w:w="0" w:type="dxa"/>
            <w:right w:w="0" w:type="dxa"/>
          </w:tblCellMar>
        </w:tblPrEx>
        <w:trPr>
          <w:trHeight w:val="706" w:hRule="exact"/>
        </w:trPr>
        <w:tc>
          <w:tcPr>
            <w:tcW w:w="1038" w:type="dxa"/>
            <w:tcBorders>
              <w:top w:val="single" w:color="000000" w:sz="4" w:space="0"/>
              <w:left w:val="single" w:color="000000" w:sz="4" w:space="0"/>
              <w:bottom w:val="single" w:color="000000" w:sz="4" w:space="0"/>
              <w:right w:val="single" w:color="000000" w:sz="4" w:space="0"/>
            </w:tcBorders>
            <w:vAlign w:val="center"/>
          </w:tcPr>
          <w:p>
            <w:pPr>
              <w:jc w:val="center"/>
              <w:rPr>
                <w:rFonts w:asciiTheme="minorEastAsia" w:hAnsiTheme="minorEastAsia"/>
                <w:kern w:val="0"/>
                <w:szCs w:val="21"/>
                <w:lang w:eastAsia="en-US"/>
              </w:rPr>
            </w:pPr>
            <w:r>
              <w:rPr>
                <w:rFonts w:asciiTheme="minorEastAsia" w:hAnsiTheme="minorEastAsia"/>
                <w:kern w:val="0"/>
                <w:szCs w:val="21"/>
                <w:lang w:eastAsia="en-US"/>
              </w:rPr>
              <w:t>6.3.</w:t>
            </w:r>
            <w:r>
              <w:rPr>
                <w:rFonts w:hint="eastAsia" w:asciiTheme="minorEastAsia" w:hAnsiTheme="minorEastAsia"/>
                <w:kern w:val="0"/>
                <w:szCs w:val="21"/>
                <w:lang w:eastAsia="en-US"/>
              </w:rPr>
              <w:t>5</w:t>
            </w:r>
          </w:p>
        </w:tc>
        <w:tc>
          <w:tcPr>
            <w:tcW w:w="2368" w:type="dxa"/>
            <w:tcBorders>
              <w:top w:val="single" w:color="000000" w:sz="4" w:space="0"/>
              <w:left w:val="single" w:color="000000" w:sz="4" w:space="0"/>
              <w:bottom w:val="single" w:color="000000" w:sz="4" w:space="0"/>
              <w:right w:val="single" w:color="000000" w:sz="4" w:space="0"/>
            </w:tcBorders>
            <w:vAlign w:val="center"/>
          </w:tcPr>
          <w:p>
            <w:pPr>
              <w:jc w:val="center"/>
              <w:rPr>
                <w:rFonts w:asciiTheme="minorEastAsia" w:hAnsiTheme="minorEastAsia"/>
                <w:kern w:val="0"/>
                <w:szCs w:val="21"/>
                <w:lang w:eastAsia="zh-CN"/>
              </w:rPr>
            </w:pPr>
            <w:r>
              <w:rPr>
                <w:rFonts w:asciiTheme="minorEastAsia" w:hAnsiTheme="minorEastAsia"/>
                <w:kern w:val="0"/>
                <w:szCs w:val="21"/>
                <w:lang w:eastAsia="zh-CN"/>
              </w:rPr>
              <w:t>磋商小组推荐成交候选人</w:t>
            </w:r>
            <w:r>
              <w:rPr>
                <w:rFonts w:hint="eastAsia" w:asciiTheme="minorEastAsia" w:hAnsiTheme="minorEastAsia"/>
                <w:kern w:val="0"/>
                <w:szCs w:val="21"/>
                <w:lang w:eastAsia="zh-CN"/>
              </w:rPr>
              <w:t>数量</w:t>
            </w:r>
          </w:p>
        </w:tc>
        <w:tc>
          <w:tcPr>
            <w:tcW w:w="4910" w:type="dxa"/>
            <w:tcBorders>
              <w:top w:val="single" w:color="000000" w:sz="4" w:space="0"/>
              <w:left w:val="single" w:color="000000" w:sz="4" w:space="0"/>
              <w:bottom w:val="single" w:color="000000" w:sz="4" w:space="0"/>
              <w:right w:val="single" w:color="000000" w:sz="4" w:space="0"/>
            </w:tcBorders>
            <w:vAlign w:val="center"/>
          </w:tcPr>
          <w:p>
            <w:pPr>
              <w:rPr>
                <w:rFonts w:asciiTheme="minorEastAsia" w:hAnsiTheme="minorEastAsia"/>
                <w:kern w:val="0"/>
                <w:szCs w:val="21"/>
                <w:lang w:eastAsia="en-US"/>
              </w:rPr>
            </w:pPr>
            <w:r>
              <w:rPr>
                <w:rFonts w:hint="eastAsia" w:asciiTheme="minorEastAsia" w:hAnsiTheme="minorEastAsia"/>
                <w:kern w:val="0"/>
                <w:szCs w:val="21"/>
                <w:lang w:eastAsia="en-US"/>
              </w:rPr>
              <w:t>3家</w:t>
            </w:r>
          </w:p>
        </w:tc>
      </w:tr>
      <w:tr>
        <w:tblPrEx>
          <w:tblCellMar>
            <w:top w:w="0" w:type="dxa"/>
            <w:left w:w="0" w:type="dxa"/>
            <w:bottom w:w="0" w:type="dxa"/>
            <w:right w:w="0" w:type="dxa"/>
          </w:tblCellMar>
        </w:tblPrEx>
        <w:trPr>
          <w:trHeight w:val="1425" w:hRule="exact"/>
        </w:trPr>
        <w:tc>
          <w:tcPr>
            <w:tcW w:w="1038" w:type="dxa"/>
            <w:tcBorders>
              <w:top w:val="single" w:color="000000" w:sz="4" w:space="0"/>
              <w:left w:val="single" w:color="000000" w:sz="4" w:space="0"/>
              <w:bottom w:val="single" w:color="000000" w:sz="4" w:space="0"/>
              <w:right w:val="single" w:color="000000" w:sz="4" w:space="0"/>
            </w:tcBorders>
            <w:vAlign w:val="center"/>
          </w:tcPr>
          <w:p>
            <w:pPr>
              <w:jc w:val="center"/>
              <w:rPr>
                <w:rFonts w:asciiTheme="minorEastAsia" w:hAnsiTheme="minorEastAsia"/>
                <w:kern w:val="0"/>
                <w:szCs w:val="21"/>
                <w:lang w:eastAsia="en-US"/>
              </w:rPr>
            </w:pPr>
            <w:r>
              <w:rPr>
                <w:rFonts w:asciiTheme="minorEastAsia" w:hAnsiTheme="minorEastAsia"/>
                <w:kern w:val="0"/>
                <w:szCs w:val="21"/>
                <w:lang w:eastAsia="en-US"/>
              </w:rPr>
              <w:t>7.1</w:t>
            </w:r>
          </w:p>
        </w:tc>
        <w:tc>
          <w:tcPr>
            <w:tcW w:w="2368" w:type="dxa"/>
            <w:tcBorders>
              <w:top w:val="single" w:color="000000" w:sz="4" w:space="0"/>
              <w:left w:val="single" w:color="000000" w:sz="4" w:space="0"/>
              <w:bottom w:val="single" w:color="000000" w:sz="4" w:space="0"/>
              <w:right w:val="single" w:color="000000" w:sz="4" w:space="0"/>
            </w:tcBorders>
            <w:vAlign w:val="center"/>
          </w:tcPr>
          <w:p>
            <w:pPr>
              <w:jc w:val="center"/>
              <w:rPr>
                <w:rFonts w:asciiTheme="minorEastAsia" w:hAnsiTheme="minorEastAsia"/>
                <w:kern w:val="0"/>
                <w:szCs w:val="21"/>
                <w:lang w:eastAsia="en-US"/>
              </w:rPr>
            </w:pPr>
            <w:r>
              <w:rPr>
                <w:rFonts w:hint="eastAsia" w:asciiTheme="minorEastAsia" w:hAnsiTheme="minorEastAsia"/>
                <w:kern w:val="0"/>
                <w:szCs w:val="21"/>
                <w:lang w:eastAsia="en-US"/>
              </w:rPr>
              <w:t>成交公告</w:t>
            </w:r>
            <w:r>
              <w:rPr>
                <w:rFonts w:asciiTheme="minorEastAsia" w:hAnsiTheme="minorEastAsia"/>
                <w:kern w:val="0"/>
                <w:szCs w:val="21"/>
                <w:lang w:eastAsia="en-US"/>
              </w:rPr>
              <w:t>媒介及期限</w:t>
            </w:r>
          </w:p>
        </w:tc>
        <w:tc>
          <w:tcPr>
            <w:tcW w:w="4910" w:type="dxa"/>
            <w:tcBorders>
              <w:top w:val="single" w:color="000000" w:sz="4" w:space="0"/>
              <w:left w:val="single" w:color="000000" w:sz="4" w:space="0"/>
              <w:bottom w:val="single" w:color="000000" w:sz="4" w:space="0"/>
              <w:right w:val="single" w:color="000000" w:sz="4" w:space="0"/>
            </w:tcBorders>
            <w:vAlign w:val="center"/>
          </w:tcPr>
          <w:p>
            <w:pPr>
              <w:rPr>
                <w:rFonts w:asciiTheme="minorEastAsia" w:hAnsiTheme="minorEastAsia"/>
                <w:kern w:val="0"/>
                <w:szCs w:val="21"/>
                <w:lang w:eastAsia="zh-CN"/>
              </w:rPr>
            </w:pPr>
            <w:r>
              <w:rPr>
                <w:rFonts w:asciiTheme="minorEastAsia" w:hAnsiTheme="minorEastAsia"/>
                <w:kern w:val="0"/>
                <w:szCs w:val="21"/>
                <w:lang w:eastAsia="zh-CN"/>
              </w:rPr>
              <w:t>公</w:t>
            </w:r>
            <w:r>
              <w:rPr>
                <w:rFonts w:hint="eastAsia" w:asciiTheme="minorEastAsia" w:hAnsiTheme="minorEastAsia"/>
                <w:kern w:val="0"/>
                <w:szCs w:val="21"/>
                <w:lang w:eastAsia="zh-CN"/>
              </w:rPr>
              <w:t>告</w:t>
            </w:r>
            <w:r>
              <w:rPr>
                <w:rFonts w:asciiTheme="minorEastAsia" w:hAnsiTheme="minorEastAsia"/>
                <w:kern w:val="0"/>
                <w:szCs w:val="21"/>
                <w:lang w:eastAsia="zh-CN"/>
              </w:rPr>
              <w:t>媒介：</w:t>
            </w:r>
            <w:r>
              <w:rPr>
                <w:rFonts w:hint="eastAsia" w:asciiTheme="minorEastAsia" w:hAnsiTheme="minorEastAsia"/>
                <w:kern w:val="0"/>
                <w:szCs w:val="21"/>
                <w:lang w:eastAsia="zh-CN"/>
              </w:rPr>
              <w:t>《中国政府采购网》、《河南省政府采购网》、《郑州市政府采购网》、《郑州市公共资源交易中心网》</w:t>
            </w:r>
          </w:p>
          <w:p>
            <w:pPr>
              <w:rPr>
                <w:rFonts w:asciiTheme="minorEastAsia" w:hAnsiTheme="minorEastAsia"/>
                <w:kern w:val="0"/>
                <w:szCs w:val="21"/>
                <w:lang w:eastAsia="en-US"/>
              </w:rPr>
            </w:pPr>
            <w:r>
              <w:rPr>
                <w:rFonts w:asciiTheme="minorEastAsia" w:hAnsiTheme="minorEastAsia"/>
                <w:kern w:val="0"/>
                <w:szCs w:val="21"/>
                <w:lang w:eastAsia="en-US"/>
              </w:rPr>
              <w:t>公</w:t>
            </w:r>
            <w:r>
              <w:rPr>
                <w:rFonts w:hint="eastAsia" w:asciiTheme="minorEastAsia" w:hAnsiTheme="minorEastAsia"/>
                <w:kern w:val="0"/>
                <w:szCs w:val="21"/>
                <w:lang w:eastAsia="en-US"/>
              </w:rPr>
              <w:t>告</w:t>
            </w:r>
            <w:r>
              <w:rPr>
                <w:rFonts w:asciiTheme="minorEastAsia" w:hAnsiTheme="minorEastAsia"/>
                <w:kern w:val="0"/>
                <w:szCs w:val="21"/>
                <w:lang w:eastAsia="en-US"/>
              </w:rPr>
              <w:t>期限：</w:t>
            </w:r>
            <w:r>
              <w:rPr>
                <w:rFonts w:hint="eastAsia" w:asciiTheme="minorEastAsia" w:hAnsiTheme="minorEastAsia"/>
                <w:kern w:val="0"/>
                <w:szCs w:val="21"/>
                <w:lang w:eastAsia="en-US"/>
              </w:rPr>
              <w:t>1个工作</w:t>
            </w:r>
            <w:r>
              <w:rPr>
                <w:rFonts w:asciiTheme="minorEastAsia" w:hAnsiTheme="minorEastAsia"/>
                <w:kern w:val="0"/>
                <w:szCs w:val="21"/>
                <w:lang w:eastAsia="en-US"/>
              </w:rPr>
              <w:t>日</w:t>
            </w:r>
          </w:p>
        </w:tc>
      </w:tr>
      <w:tr>
        <w:tblPrEx>
          <w:tblCellMar>
            <w:top w:w="0" w:type="dxa"/>
            <w:left w:w="0" w:type="dxa"/>
            <w:bottom w:w="0" w:type="dxa"/>
            <w:right w:w="0" w:type="dxa"/>
          </w:tblCellMar>
        </w:tblPrEx>
        <w:tc>
          <w:tcPr>
            <w:tcW w:w="1038" w:type="dxa"/>
            <w:tcBorders>
              <w:top w:val="single" w:color="000000" w:sz="4" w:space="0"/>
              <w:left w:val="single" w:color="000000" w:sz="4" w:space="0"/>
              <w:bottom w:val="single" w:color="000000" w:sz="4" w:space="0"/>
              <w:right w:val="single" w:color="000000" w:sz="4" w:space="0"/>
            </w:tcBorders>
            <w:vAlign w:val="center"/>
          </w:tcPr>
          <w:p>
            <w:pPr>
              <w:jc w:val="center"/>
              <w:rPr>
                <w:rFonts w:asciiTheme="minorEastAsia" w:hAnsiTheme="minorEastAsia"/>
                <w:kern w:val="0"/>
                <w:szCs w:val="21"/>
                <w:lang w:eastAsia="en-US"/>
              </w:rPr>
            </w:pPr>
            <w:r>
              <w:rPr>
                <w:rFonts w:hint="eastAsia" w:asciiTheme="minorEastAsia" w:hAnsiTheme="minorEastAsia"/>
                <w:kern w:val="0"/>
                <w:szCs w:val="21"/>
                <w:lang w:eastAsia="en-US"/>
              </w:rPr>
              <w:t>7.2.3</w:t>
            </w:r>
          </w:p>
        </w:tc>
        <w:tc>
          <w:tcPr>
            <w:tcW w:w="2368" w:type="dxa"/>
            <w:tcBorders>
              <w:top w:val="single" w:color="000000" w:sz="4" w:space="0"/>
              <w:left w:val="single" w:color="000000" w:sz="4" w:space="0"/>
              <w:bottom w:val="single" w:color="000000" w:sz="4" w:space="0"/>
              <w:right w:val="single" w:color="000000" w:sz="4" w:space="0"/>
            </w:tcBorders>
            <w:vAlign w:val="center"/>
          </w:tcPr>
          <w:p>
            <w:pPr>
              <w:jc w:val="center"/>
              <w:rPr>
                <w:rFonts w:asciiTheme="minorEastAsia" w:hAnsiTheme="minorEastAsia"/>
                <w:kern w:val="0"/>
                <w:szCs w:val="21"/>
                <w:lang w:eastAsia="zh-CN"/>
              </w:rPr>
            </w:pPr>
            <w:r>
              <w:rPr>
                <w:rFonts w:hint="eastAsia" w:asciiTheme="minorEastAsia" w:hAnsiTheme="minorEastAsia"/>
                <w:kern w:val="0"/>
                <w:szCs w:val="21"/>
                <w:lang w:eastAsia="zh-CN"/>
              </w:rPr>
              <w:t>针对同一采购程序环节的质疑次数</w:t>
            </w:r>
          </w:p>
        </w:tc>
        <w:tc>
          <w:tcPr>
            <w:tcW w:w="4910" w:type="dxa"/>
            <w:tcBorders>
              <w:top w:val="single" w:color="000000" w:sz="4" w:space="0"/>
              <w:left w:val="single" w:color="000000" w:sz="4" w:space="0"/>
              <w:bottom w:val="single" w:color="000000" w:sz="4" w:space="0"/>
              <w:right w:val="single" w:color="000000" w:sz="4" w:space="0"/>
            </w:tcBorders>
            <w:vAlign w:val="center"/>
          </w:tcPr>
          <w:p>
            <w:pPr>
              <w:rPr>
                <w:rFonts w:asciiTheme="minorEastAsia" w:hAnsiTheme="minorEastAsia"/>
                <w:kern w:val="0"/>
                <w:szCs w:val="21"/>
                <w:lang w:eastAsia="en-US"/>
              </w:rPr>
            </w:pPr>
            <w:r>
              <w:rPr>
                <w:rFonts w:hint="eastAsia" w:asciiTheme="minorEastAsia" w:hAnsiTheme="minorEastAsia"/>
                <w:kern w:val="0"/>
                <w:szCs w:val="21"/>
                <w:lang w:eastAsia="en-US"/>
              </w:rPr>
              <w:t>一次性提出</w:t>
            </w:r>
          </w:p>
        </w:tc>
      </w:tr>
      <w:tr>
        <w:tblPrEx>
          <w:tblCellMar>
            <w:top w:w="0" w:type="dxa"/>
            <w:left w:w="0" w:type="dxa"/>
            <w:bottom w:w="0" w:type="dxa"/>
            <w:right w:w="0" w:type="dxa"/>
          </w:tblCellMar>
        </w:tblPrEx>
        <w:tc>
          <w:tcPr>
            <w:tcW w:w="1038" w:type="dxa"/>
            <w:tcBorders>
              <w:top w:val="single" w:color="000000" w:sz="4" w:space="0"/>
              <w:left w:val="single" w:color="000000" w:sz="4" w:space="0"/>
              <w:bottom w:val="single" w:color="000000" w:sz="4" w:space="0"/>
              <w:right w:val="single" w:color="000000" w:sz="4" w:space="0"/>
            </w:tcBorders>
            <w:vAlign w:val="center"/>
          </w:tcPr>
          <w:p>
            <w:pPr>
              <w:jc w:val="center"/>
              <w:rPr>
                <w:rFonts w:asciiTheme="minorEastAsia" w:hAnsiTheme="minorEastAsia"/>
                <w:kern w:val="0"/>
                <w:szCs w:val="21"/>
                <w:lang w:eastAsia="en-US"/>
              </w:rPr>
            </w:pPr>
            <w:r>
              <w:rPr>
                <w:rFonts w:hint="eastAsia" w:asciiTheme="minorEastAsia" w:hAnsiTheme="minorEastAsia"/>
                <w:kern w:val="0"/>
                <w:szCs w:val="21"/>
                <w:lang w:eastAsia="en-US"/>
              </w:rPr>
              <w:t>7.2.5</w:t>
            </w:r>
          </w:p>
        </w:tc>
        <w:tc>
          <w:tcPr>
            <w:tcW w:w="2368" w:type="dxa"/>
            <w:tcBorders>
              <w:top w:val="single" w:color="000000" w:sz="4" w:space="0"/>
              <w:left w:val="single" w:color="000000" w:sz="4" w:space="0"/>
              <w:bottom w:val="single" w:color="000000" w:sz="4" w:space="0"/>
              <w:right w:val="single" w:color="000000" w:sz="4" w:space="0"/>
            </w:tcBorders>
            <w:vAlign w:val="center"/>
          </w:tcPr>
          <w:p>
            <w:pPr>
              <w:jc w:val="center"/>
              <w:rPr>
                <w:rFonts w:asciiTheme="minorEastAsia" w:hAnsiTheme="minorEastAsia"/>
                <w:kern w:val="0"/>
                <w:szCs w:val="21"/>
                <w:lang w:eastAsia="zh-CN"/>
              </w:rPr>
            </w:pPr>
            <w:r>
              <w:rPr>
                <w:rFonts w:hint="eastAsia" w:asciiTheme="minorEastAsia" w:hAnsiTheme="minorEastAsia"/>
                <w:kern w:val="0"/>
                <w:szCs w:val="21"/>
                <w:lang w:eastAsia="zh-CN"/>
              </w:rPr>
              <w:t>质疑函接收部门、联系电话和通讯地址</w:t>
            </w:r>
          </w:p>
        </w:tc>
        <w:tc>
          <w:tcPr>
            <w:tcW w:w="4910" w:type="dxa"/>
            <w:tcBorders>
              <w:top w:val="single" w:color="000000" w:sz="4" w:space="0"/>
              <w:left w:val="single" w:color="000000" w:sz="4" w:space="0"/>
              <w:bottom w:val="single" w:color="000000" w:sz="4" w:space="0"/>
              <w:right w:val="single" w:color="000000" w:sz="4" w:space="0"/>
            </w:tcBorders>
            <w:vAlign w:val="center"/>
          </w:tcPr>
          <w:p>
            <w:pPr>
              <w:rPr>
                <w:rFonts w:asciiTheme="minorEastAsia" w:hAnsiTheme="minorEastAsia"/>
                <w:kern w:val="0"/>
                <w:szCs w:val="21"/>
                <w:lang w:eastAsia="zh-CN"/>
              </w:rPr>
            </w:pPr>
            <w:r>
              <w:rPr>
                <w:rFonts w:hint="eastAsia" w:asciiTheme="minorEastAsia" w:hAnsiTheme="minorEastAsia"/>
                <w:kern w:val="0"/>
                <w:szCs w:val="21"/>
                <w:lang w:eastAsia="zh-CN"/>
              </w:rPr>
              <w:t>联系部门：河南省伟信招标管理咨询有限公司</w:t>
            </w:r>
          </w:p>
          <w:p>
            <w:pPr>
              <w:rPr>
                <w:rFonts w:hint="default" w:asciiTheme="minorEastAsia" w:hAnsiTheme="minorEastAsia"/>
                <w:kern w:val="0"/>
                <w:szCs w:val="21"/>
                <w:lang w:val="en-US" w:eastAsia="zh-CN"/>
              </w:rPr>
            </w:pPr>
            <w:r>
              <w:rPr>
                <w:rFonts w:hint="eastAsia" w:asciiTheme="minorEastAsia" w:hAnsiTheme="minorEastAsia"/>
                <w:kern w:val="0"/>
                <w:szCs w:val="21"/>
                <w:lang w:eastAsia="zh-CN"/>
              </w:rPr>
              <w:t>联系电话：0371-</w:t>
            </w:r>
            <w:r>
              <w:rPr>
                <w:rFonts w:hint="eastAsia" w:asciiTheme="minorEastAsia" w:hAnsiTheme="minorEastAsia"/>
                <w:kern w:val="0"/>
                <w:szCs w:val="21"/>
                <w:lang w:val="en-US" w:eastAsia="zh-CN"/>
              </w:rPr>
              <w:t>65837988</w:t>
            </w:r>
          </w:p>
          <w:p>
            <w:pPr>
              <w:rPr>
                <w:rFonts w:asciiTheme="minorEastAsia" w:hAnsiTheme="minorEastAsia"/>
                <w:kern w:val="0"/>
                <w:szCs w:val="21"/>
                <w:lang w:eastAsia="zh-CN"/>
              </w:rPr>
            </w:pPr>
            <w:r>
              <w:rPr>
                <w:rFonts w:hint="eastAsia" w:asciiTheme="minorEastAsia" w:hAnsiTheme="minorEastAsia"/>
                <w:kern w:val="0"/>
                <w:szCs w:val="21"/>
                <w:lang w:eastAsia="zh-CN"/>
              </w:rPr>
              <w:t>通讯地址：郑州市郑东新区东风南路与创业路绿地中心北塔16楼</w:t>
            </w:r>
          </w:p>
        </w:tc>
      </w:tr>
      <w:tr>
        <w:tblPrEx>
          <w:tblCellMar>
            <w:top w:w="0" w:type="dxa"/>
            <w:left w:w="0" w:type="dxa"/>
            <w:bottom w:w="0" w:type="dxa"/>
            <w:right w:w="0" w:type="dxa"/>
          </w:tblCellMar>
        </w:tblPrEx>
        <w:tc>
          <w:tcPr>
            <w:tcW w:w="1038" w:type="dxa"/>
            <w:tcBorders>
              <w:top w:val="single" w:color="000000" w:sz="4" w:space="0"/>
              <w:left w:val="single" w:color="000000" w:sz="4" w:space="0"/>
              <w:bottom w:val="single" w:color="000000" w:sz="4" w:space="0"/>
              <w:right w:val="single" w:color="000000" w:sz="4" w:space="0"/>
            </w:tcBorders>
            <w:vAlign w:val="center"/>
          </w:tcPr>
          <w:p>
            <w:pPr>
              <w:jc w:val="center"/>
              <w:rPr>
                <w:rFonts w:asciiTheme="minorEastAsia" w:hAnsiTheme="minorEastAsia"/>
                <w:kern w:val="0"/>
                <w:szCs w:val="21"/>
                <w:lang w:eastAsia="en-US"/>
              </w:rPr>
            </w:pPr>
            <w:r>
              <w:rPr>
                <w:rFonts w:hint="eastAsia" w:asciiTheme="minorEastAsia" w:hAnsiTheme="minorEastAsia"/>
                <w:kern w:val="0"/>
                <w:szCs w:val="21"/>
                <w:lang w:eastAsia="en-US"/>
              </w:rPr>
              <w:t>7.5.1</w:t>
            </w:r>
          </w:p>
        </w:tc>
        <w:tc>
          <w:tcPr>
            <w:tcW w:w="2368" w:type="dxa"/>
            <w:tcBorders>
              <w:top w:val="single" w:color="000000" w:sz="4" w:space="0"/>
              <w:left w:val="single" w:color="000000" w:sz="4" w:space="0"/>
              <w:bottom w:val="single" w:color="000000" w:sz="4" w:space="0"/>
              <w:right w:val="single" w:color="000000" w:sz="4" w:space="0"/>
            </w:tcBorders>
            <w:vAlign w:val="center"/>
          </w:tcPr>
          <w:p>
            <w:pPr>
              <w:jc w:val="center"/>
              <w:rPr>
                <w:rFonts w:asciiTheme="minorEastAsia" w:hAnsiTheme="minorEastAsia"/>
                <w:kern w:val="0"/>
                <w:szCs w:val="21"/>
                <w:lang w:eastAsia="en-US"/>
              </w:rPr>
            </w:pPr>
            <w:r>
              <w:rPr>
                <w:rFonts w:hint="eastAsia" w:asciiTheme="minorEastAsia" w:hAnsiTheme="minorEastAsia"/>
                <w:kern w:val="0"/>
                <w:szCs w:val="21"/>
                <w:lang w:eastAsia="en-US"/>
              </w:rPr>
              <w:t>履约保证金</w:t>
            </w:r>
          </w:p>
        </w:tc>
        <w:tc>
          <w:tcPr>
            <w:tcW w:w="4910" w:type="dxa"/>
            <w:tcBorders>
              <w:top w:val="single" w:color="000000" w:sz="4" w:space="0"/>
              <w:left w:val="single" w:color="000000" w:sz="4" w:space="0"/>
              <w:bottom w:val="single" w:color="000000" w:sz="4" w:space="0"/>
              <w:right w:val="single" w:color="000000" w:sz="4" w:space="0"/>
            </w:tcBorders>
            <w:vAlign w:val="center"/>
          </w:tcPr>
          <w:p>
            <w:pPr>
              <w:rPr>
                <w:rFonts w:asciiTheme="minorEastAsia" w:hAnsiTheme="minorEastAsia"/>
                <w:kern w:val="0"/>
                <w:szCs w:val="21"/>
                <w:lang w:eastAsia="zh-CN"/>
              </w:rPr>
            </w:pPr>
            <w:r>
              <w:rPr>
                <w:rFonts w:hint="eastAsia" w:asciiTheme="minorEastAsia" w:hAnsiTheme="minorEastAsia"/>
                <w:kern w:val="0"/>
                <w:szCs w:val="21"/>
                <w:lang w:eastAsia="zh-CN"/>
              </w:rPr>
              <w:t>是否提交履约保证金：是</w:t>
            </w:r>
          </w:p>
          <w:p>
            <w:pPr>
              <w:rPr>
                <w:rFonts w:asciiTheme="minorEastAsia" w:hAnsiTheme="minorEastAsia"/>
                <w:kern w:val="0"/>
                <w:szCs w:val="21"/>
                <w:lang w:eastAsia="zh-CN"/>
              </w:rPr>
            </w:pPr>
            <w:r>
              <w:rPr>
                <w:rFonts w:hint="eastAsia" w:asciiTheme="minorEastAsia" w:hAnsiTheme="minorEastAsia"/>
                <w:kern w:val="0"/>
                <w:szCs w:val="21"/>
                <w:lang w:eastAsia="zh-CN"/>
              </w:rPr>
              <w:t>履约保证金金额：合同金额的</w:t>
            </w:r>
            <w:r>
              <w:rPr>
                <w:rFonts w:hint="eastAsia" w:asciiTheme="minorEastAsia" w:hAnsiTheme="minorEastAsia"/>
                <w:kern w:val="0"/>
                <w:szCs w:val="21"/>
                <w:lang w:val="en-US" w:eastAsia="zh-CN"/>
              </w:rPr>
              <w:t>5</w:t>
            </w:r>
            <w:r>
              <w:rPr>
                <w:rFonts w:hint="eastAsia" w:asciiTheme="minorEastAsia" w:hAnsiTheme="minorEastAsia"/>
                <w:kern w:val="0"/>
                <w:szCs w:val="21"/>
                <w:lang w:eastAsia="zh-CN"/>
              </w:rPr>
              <w:t>%的银行履约担保函。</w:t>
            </w:r>
          </w:p>
        </w:tc>
      </w:tr>
      <w:tr>
        <w:tblPrEx>
          <w:tblCellMar>
            <w:top w:w="0" w:type="dxa"/>
            <w:left w:w="0" w:type="dxa"/>
            <w:bottom w:w="0" w:type="dxa"/>
            <w:right w:w="0" w:type="dxa"/>
          </w:tblCellMar>
        </w:tblPrEx>
        <w:tc>
          <w:tcPr>
            <w:tcW w:w="1038" w:type="dxa"/>
            <w:tcBorders>
              <w:top w:val="single" w:color="000000" w:sz="4" w:space="0"/>
              <w:left w:val="single" w:color="000000" w:sz="4" w:space="0"/>
              <w:bottom w:val="single" w:color="000000" w:sz="4" w:space="0"/>
              <w:right w:val="single" w:color="000000" w:sz="4" w:space="0"/>
            </w:tcBorders>
            <w:vAlign w:val="center"/>
          </w:tcPr>
          <w:p>
            <w:pPr>
              <w:jc w:val="center"/>
              <w:rPr>
                <w:rFonts w:asciiTheme="minorEastAsia" w:hAnsiTheme="minorEastAsia"/>
                <w:kern w:val="0"/>
                <w:szCs w:val="21"/>
                <w:lang w:eastAsia="en-US"/>
              </w:rPr>
            </w:pPr>
            <w:r>
              <w:rPr>
                <w:rFonts w:hint="eastAsia" w:asciiTheme="minorEastAsia" w:hAnsiTheme="minorEastAsia"/>
                <w:kern w:val="0"/>
                <w:szCs w:val="21"/>
                <w:lang w:eastAsia="en-US"/>
              </w:rPr>
              <w:t>7.7.1</w:t>
            </w:r>
          </w:p>
        </w:tc>
        <w:tc>
          <w:tcPr>
            <w:tcW w:w="2368" w:type="dxa"/>
            <w:tcBorders>
              <w:top w:val="single" w:color="000000" w:sz="4" w:space="0"/>
              <w:left w:val="single" w:color="000000" w:sz="4" w:space="0"/>
              <w:bottom w:val="single" w:color="000000" w:sz="4" w:space="0"/>
              <w:right w:val="single" w:color="000000" w:sz="4" w:space="0"/>
            </w:tcBorders>
            <w:vAlign w:val="center"/>
          </w:tcPr>
          <w:p>
            <w:pPr>
              <w:jc w:val="center"/>
              <w:rPr>
                <w:rFonts w:asciiTheme="minorEastAsia" w:hAnsiTheme="minorEastAsia"/>
                <w:kern w:val="0"/>
                <w:szCs w:val="21"/>
                <w:lang w:eastAsia="zh-CN"/>
              </w:rPr>
            </w:pPr>
            <w:r>
              <w:rPr>
                <w:rFonts w:hint="eastAsia" w:asciiTheme="minorEastAsia" w:hAnsiTheme="minorEastAsia"/>
                <w:kern w:val="0"/>
                <w:szCs w:val="21"/>
                <w:lang w:eastAsia="zh-CN"/>
              </w:rPr>
              <w:t>本项目是否属于信用担保试点范围</w:t>
            </w:r>
          </w:p>
        </w:tc>
        <w:tc>
          <w:tcPr>
            <w:tcW w:w="4910" w:type="dxa"/>
            <w:tcBorders>
              <w:top w:val="single" w:color="000000" w:sz="4" w:space="0"/>
              <w:left w:val="single" w:color="000000" w:sz="4" w:space="0"/>
              <w:bottom w:val="single" w:color="000000" w:sz="4" w:space="0"/>
              <w:right w:val="single" w:color="000000" w:sz="4" w:space="0"/>
            </w:tcBorders>
            <w:vAlign w:val="center"/>
          </w:tcPr>
          <w:p>
            <w:pPr>
              <w:rPr>
                <w:rFonts w:asciiTheme="minorEastAsia" w:hAnsiTheme="minorEastAsia"/>
                <w:kern w:val="0"/>
                <w:szCs w:val="21"/>
                <w:lang w:eastAsia="en-US"/>
              </w:rPr>
            </w:pPr>
            <w:r>
              <w:rPr>
                <w:rFonts w:hint="eastAsia" w:asciiTheme="minorEastAsia" w:hAnsiTheme="minorEastAsia"/>
                <w:kern w:val="0"/>
                <w:szCs w:val="21"/>
                <w:lang w:eastAsia="en-US"/>
              </w:rPr>
              <w:t>是</w:t>
            </w:r>
          </w:p>
        </w:tc>
      </w:tr>
      <w:tr>
        <w:tblPrEx>
          <w:tblCellMar>
            <w:top w:w="0" w:type="dxa"/>
            <w:left w:w="0" w:type="dxa"/>
            <w:bottom w:w="0" w:type="dxa"/>
            <w:right w:w="0" w:type="dxa"/>
          </w:tblCellMar>
        </w:tblPrEx>
        <w:tc>
          <w:tcPr>
            <w:tcW w:w="1038" w:type="dxa"/>
            <w:tcBorders>
              <w:top w:val="single" w:color="000000" w:sz="4" w:space="0"/>
              <w:left w:val="single" w:color="000000" w:sz="4" w:space="0"/>
              <w:bottom w:val="single" w:color="000000" w:sz="4" w:space="0"/>
              <w:right w:val="single" w:color="000000" w:sz="4" w:space="0"/>
            </w:tcBorders>
            <w:vAlign w:val="center"/>
          </w:tcPr>
          <w:p>
            <w:pPr>
              <w:jc w:val="center"/>
              <w:rPr>
                <w:rFonts w:asciiTheme="minorEastAsia" w:hAnsiTheme="minorEastAsia"/>
                <w:kern w:val="0"/>
                <w:szCs w:val="21"/>
                <w:lang w:eastAsia="en-US"/>
              </w:rPr>
            </w:pPr>
            <w:r>
              <w:rPr>
                <w:rFonts w:hint="eastAsia" w:asciiTheme="minorEastAsia" w:hAnsiTheme="minorEastAsia"/>
                <w:kern w:val="0"/>
                <w:szCs w:val="21"/>
                <w:lang w:eastAsia="en-US"/>
              </w:rPr>
              <w:t>7.7.2（3）</w:t>
            </w:r>
          </w:p>
        </w:tc>
        <w:tc>
          <w:tcPr>
            <w:tcW w:w="2368" w:type="dxa"/>
            <w:tcBorders>
              <w:top w:val="single" w:color="000000" w:sz="4" w:space="0"/>
              <w:left w:val="single" w:color="000000" w:sz="4" w:space="0"/>
              <w:bottom w:val="single" w:color="000000" w:sz="4" w:space="0"/>
              <w:right w:val="single" w:color="000000" w:sz="4" w:space="0"/>
            </w:tcBorders>
            <w:vAlign w:val="center"/>
          </w:tcPr>
          <w:p>
            <w:pPr>
              <w:jc w:val="center"/>
              <w:rPr>
                <w:rFonts w:asciiTheme="minorEastAsia" w:hAnsiTheme="minorEastAsia"/>
                <w:kern w:val="0"/>
                <w:szCs w:val="21"/>
                <w:lang w:eastAsia="zh-CN"/>
              </w:rPr>
            </w:pPr>
            <w:r>
              <w:rPr>
                <w:rFonts w:hint="eastAsia" w:asciiTheme="minorEastAsia" w:hAnsiTheme="minorEastAsia"/>
                <w:kern w:val="0"/>
                <w:szCs w:val="21"/>
                <w:lang w:eastAsia="zh-CN"/>
              </w:rPr>
              <w:t>政府采购专业信用担保机构</w:t>
            </w:r>
          </w:p>
        </w:tc>
        <w:tc>
          <w:tcPr>
            <w:tcW w:w="4910" w:type="dxa"/>
            <w:tcBorders>
              <w:top w:val="single" w:color="000000" w:sz="4" w:space="0"/>
              <w:left w:val="single" w:color="000000" w:sz="4" w:space="0"/>
              <w:bottom w:val="single" w:color="000000" w:sz="4" w:space="0"/>
              <w:right w:val="single" w:color="000000" w:sz="4" w:space="0"/>
            </w:tcBorders>
            <w:vAlign w:val="center"/>
          </w:tcPr>
          <w:p>
            <w:pPr>
              <w:rPr>
                <w:rFonts w:asciiTheme="minorEastAsia" w:hAnsiTheme="minorEastAsia"/>
                <w:kern w:val="0"/>
                <w:szCs w:val="21"/>
                <w:lang w:eastAsia="zh-CN"/>
              </w:rPr>
            </w:pPr>
            <w:r>
              <w:rPr>
                <w:rFonts w:hint="eastAsia" w:asciiTheme="minorEastAsia" w:hAnsiTheme="minorEastAsia"/>
                <w:kern w:val="0"/>
                <w:szCs w:val="21"/>
                <w:lang w:eastAsia="zh-CN"/>
              </w:rPr>
              <w:t>河南省政府采购信用担保试点工作</w:t>
            </w:r>
          </w:p>
          <w:p>
            <w:pPr>
              <w:rPr>
                <w:rFonts w:asciiTheme="minorEastAsia" w:hAnsiTheme="minorEastAsia"/>
                <w:kern w:val="0"/>
                <w:szCs w:val="21"/>
                <w:lang w:eastAsia="zh-CN"/>
              </w:rPr>
            </w:pPr>
            <w:r>
              <w:rPr>
                <w:rFonts w:hint="eastAsia" w:asciiTheme="minorEastAsia" w:hAnsiTheme="minorEastAsia"/>
                <w:kern w:val="0"/>
                <w:szCs w:val="21"/>
                <w:lang w:eastAsia="zh-CN"/>
              </w:rPr>
              <w:t>专业担保机构联系方式</w:t>
            </w:r>
          </w:p>
          <w:p>
            <w:pPr>
              <w:rPr>
                <w:rFonts w:asciiTheme="minorEastAsia" w:hAnsiTheme="minorEastAsia"/>
                <w:kern w:val="0"/>
                <w:szCs w:val="21"/>
                <w:lang w:eastAsia="zh-CN"/>
              </w:rPr>
            </w:pPr>
            <w:r>
              <w:rPr>
                <w:rFonts w:hint="eastAsia" w:asciiTheme="minorEastAsia" w:hAnsiTheme="minorEastAsia"/>
                <w:kern w:val="0"/>
                <w:szCs w:val="21"/>
                <w:lang w:eastAsia="zh-CN"/>
              </w:rPr>
              <w:t>一、中国投资担保有限公司</w:t>
            </w:r>
          </w:p>
          <w:p>
            <w:pPr>
              <w:rPr>
                <w:rFonts w:asciiTheme="minorEastAsia" w:hAnsiTheme="minorEastAsia"/>
                <w:kern w:val="0"/>
                <w:szCs w:val="21"/>
                <w:lang w:eastAsia="zh-CN"/>
              </w:rPr>
            </w:pPr>
            <w:r>
              <w:rPr>
                <w:rFonts w:hint="eastAsia" w:asciiTheme="minorEastAsia" w:hAnsiTheme="minorEastAsia"/>
                <w:kern w:val="0"/>
                <w:szCs w:val="21"/>
                <w:lang w:eastAsia="zh-CN"/>
              </w:rPr>
              <w:t>联系人：余  青    手机：13910324084</w:t>
            </w:r>
          </w:p>
          <w:p>
            <w:pPr>
              <w:rPr>
                <w:rFonts w:asciiTheme="minorEastAsia" w:hAnsiTheme="minorEastAsia"/>
                <w:kern w:val="0"/>
                <w:szCs w:val="21"/>
                <w:lang w:eastAsia="zh-CN"/>
              </w:rPr>
            </w:pPr>
            <w:r>
              <w:rPr>
                <w:rFonts w:hint="eastAsia" w:asciiTheme="minorEastAsia" w:hAnsiTheme="minorEastAsia"/>
                <w:kern w:val="0"/>
                <w:szCs w:val="21"/>
                <w:lang w:eastAsia="zh-CN"/>
              </w:rPr>
              <w:t>联系电话：（010）88822652</w:t>
            </w:r>
          </w:p>
          <w:p>
            <w:pPr>
              <w:rPr>
                <w:rFonts w:asciiTheme="minorEastAsia" w:hAnsiTheme="minorEastAsia"/>
                <w:kern w:val="0"/>
                <w:szCs w:val="21"/>
                <w:lang w:eastAsia="zh-CN"/>
              </w:rPr>
            </w:pPr>
            <w:r>
              <w:rPr>
                <w:rFonts w:hint="eastAsia" w:asciiTheme="minorEastAsia" w:hAnsiTheme="minorEastAsia"/>
                <w:kern w:val="0"/>
                <w:szCs w:val="21"/>
                <w:lang w:eastAsia="zh-CN"/>
              </w:rPr>
              <w:t>传    真：(010)  68437040</w:t>
            </w:r>
          </w:p>
          <w:p>
            <w:pPr>
              <w:rPr>
                <w:rFonts w:asciiTheme="minorEastAsia" w:hAnsiTheme="minorEastAsia"/>
                <w:kern w:val="0"/>
                <w:szCs w:val="21"/>
                <w:lang w:eastAsia="zh-CN"/>
              </w:rPr>
            </w:pPr>
            <w:r>
              <w:rPr>
                <w:rFonts w:hint="eastAsia" w:asciiTheme="minorEastAsia" w:hAnsiTheme="minorEastAsia"/>
                <w:kern w:val="0"/>
                <w:szCs w:val="21"/>
                <w:lang w:eastAsia="zh-CN"/>
              </w:rPr>
              <w:t>电子邮箱：yuqing@guaranty．</w:t>
            </w:r>
            <w:r>
              <w:rPr>
                <w:rFonts w:asciiTheme="minorEastAsia" w:hAnsiTheme="minorEastAsia"/>
                <w:kern w:val="0"/>
                <w:szCs w:val="21"/>
                <w:lang w:eastAsia="zh-CN"/>
              </w:rPr>
              <w:t>C</w:t>
            </w:r>
            <w:r>
              <w:rPr>
                <w:rFonts w:hint="eastAsia" w:asciiTheme="minorEastAsia" w:hAnsiTheme="minorEastAsia"/>
                <w:kern w:val="0"/>
                <w:szCs w:val="21"/>
                <w:lang w:eastAsia="zh-CN"/>
              </w:rPr>
              <w:t>om．cn</w:t>
            </w:r>
          </w:p>
          <w:p>
            <w:pPr>
              <w:rPr>
                <w:rFonts w:asciiTheme="minorEastAsia" w:hAnsiTheme="minorEastAsia"/>
                <w:kern w:val="0"/>
                <w:szCs w:val="21"/>
                <w:lang w:eastAsia="zh-CN"/>
              </w:rPr>
            </w:pPr>
            <w:r>
              <w:rPr>
                <w:rFonts w:hint="eastAsia" w:asciiTheme="minorEastAsia" w:hAnsiTheme="minorEastAsia"/>
                <w:kern w:val="0"/>
                <w:szCs w:val="21"/>
                <w:lang w:eastAsia="zh-CN"/>
              </w:rPr>
              <w:t>地址：北京市海淀区西三环北路100号金玉大厦九层</w:t>
            </w:r>
          </w:p>
          <w:p>
            <w:pPr>
              <w:rPr>
                <w:rFonts w:asciiTheme="minorEastAsia" w:hAnsiTheme="minorEastAsia"/>
                <w:kern w:val="0"/>
                <w:szCs w:val="21"/>
                <w:lang w:eastAsia="zh-CN"/>
              </w:rPr>
            </w:pPr>
            <w:r>
              <w:rPr>
                <w:rFonts w:hint="eastAsia" w:asciiTheme="minorEastAsia" w:hAnsiTheme="minorEastAsia"/>
                <w:kern w:val="0"/>
                <w:szCs w:val="21"/>
                <w:lang w:eastAsia="zh-CN"/>
              </w:rPr>
              <w:t xml:space="preserve"> 二、河南省中小企业担保集团股份有限公司</w:t>
            </w:r>
          </w:p>
          <w:p>
            <w:pPr>
              <w:rPr>
                <w:rFonts w:asciiTheme="minorEastAsia" w:hAnsiTheme="minorEastAsia"/>
                <w:kern w:val="0"/>
                <w:szCs w:val="21"/>
                <w:lang w:eastAsia="zh-CN"/>
              </w:rPr>
            </w:pPr>
            <w:r>
              <w:rPr>
                <w:rFonts w:hint="eastAsia" w:asciiTheme="minorEastAsia" w:hAnsiTheme="minorEastAsia"/>
                <w:kern w:val="0"/>
                <w:szCs w:val="21"/>
                <w:lang w:eastAsia="zh-CN"/>
              </w:rPr>
              <w:t>联系人：李广达    手机：13903839877</w:t>
            </w:r>
          </w:p>
          <w:p>
            <w:pPr>
              <w:rPr>
                <w:rFonts w:asciiTheme="minorEastAsia" w:hAnsiTheme="minorEastAsia"/>
                <w:kern w:val="0"/>
                <w:szCs w:val="21"/>
                <w:lang w:eastAsia="zh-CN"/>
              </w:rPr>
            </w:pPr>
            <w:r>
              <w:rPr>
                <w:rFonts w:hint="eastAsia" w:asciiTheme="minorEastAsia" w:hAnsiTheme="minorEastAsia"/>
                <w:kern w:val="0"/>
                <w:szCs w:val="21"/>
                <w:lang w:eastAsia="zh-CN"/>
              </w:rPr>
              <w:t>联系电话：(0371) 86122082  86179782</w:t>
            </w:r>
          </w:p>
          <w:p>
            <w:pPr>
              <w:rPr>
                <w:rFonts w:asciiTheme="minorEastAsia" w:hAnsiTheme="minorEastAsia"/>
                <w:kern w:val="0"/>
                <w:szCs w:val="21"/>
                <w:lang w:eastAsia="zh-CN"/>
              </w:rPr>
            </w:pPr>
            <w:r>
              <w:rPr>
                <w:rFonts w:hint="eastAsia" w:asciiTheme="minorEastAsia" w:hAnsiTheme="minorEastAsia"/>
                <w:kern w:val="0"/>
                <w:szCs w:val="21"/>
                <w:lang w:eastAsia="zh-CN"/>
              </w:rPr>
              <w:t>传    真：(0371) 86179809</w:t>
            </w:r>
          </w:p>
          <w:p>
            <w:pPr>
              <w:rPr>
                <w:rFonts w:asciiTheme="minorEastAsia" w:hAnsiTheme="minorEastAsia"/>
                <w:kern w:val="0"/>
                <w:szCs w:val="21"/>
                <w:lang w:eastAsia="zh-CN"/>
              </w:rPr>
            </w:pPr>
            <w:r>
              <w:rPr>
                <w:rFonts w:hint="eastAsia" w:asciiTheme="minorEastAsia" w:hAnsiTheme="minorEastAsia"/>
                <w:kern w:val="0"/>
                <w:szCs w:val="21"/>
                <w:lang w:eastAsia="zh-CN"/>
              </w:rPr>
              <w:t>电子邮箱：lgd1965@tom．</w:t>
            </w:r>
            <w:r>
              <w:rPr>
                <w:rFonts w:asciiTheme="minorEastAsia" w:hAnsiTheme="minorEastAsia"/>
                <w:kern w:val="0"/>
                <w:szCs w:val="21"/>
                <w:lang w:eastAsia="zh-CN"/>
              </w:rPr>
              <w:t>C</w:t>
            </w:r>
            <w:r>
              <w:rPr>
                <w:rFonts w:hint="eastAsia" w:asciiTheme="minorEastAsia" w:hAnsiTheme="minorEastAsia"/>
                <w:kern w:val="0"/>
                <w:szCs w:val="21"/>
                <w:lang w:eastAsia="zh-CN"/>
              </w:rPr>
              <w:t>om</w:t>
            </w:r>
          </w:p>
          <w:p>
            <w:pPr>
              <w:rPr>
                <w:rFonts w:asciiTheme="minorEastAsia" w:hAnsiTheme="minorEastAsia"/>
                <w:kern w:val="0"/>
                <w:szCs w:val="21"/>
                <w:lang w:eastAsia="zh-CN"/>
              </w:rPr>
            </w:pPr>
            <w:r>
              <w:rPr>
                <w:rFonts w:hint="eastAsia" w:asciiTheme="minorEastAsia" w:hAnsiTheme="minorEastAsia"/>
                <w:kern w:val="0"/>
                <w:szCs w:val="21"/>
                <w:lang w:eastAsia="zh-CN"/>
              </w:rPr>
              <w:t>地址：郑州市郑东新区商务外环路25号王鼎国际27层</w:t>
            </w:r>
          </w:p>
        </w:tc>
      </w:tr>
      <w:tr>
        <w:tblPrEx>
          <w:tblCellMar>
            <w:top w:w="0" w:type="dxa"/>
            <w:left w:w="0" w:type="dxa"/>
            <w:bottom w:w="0" w:type="dxa"/>
            <w:right w:w="0" w:type="dxa"/>
          </w:tblCellMar>
        </w:tblPrEx>
        <w:tc>
          <w:tcPr>
            <w:tcW w:w="1038" w:type="dxa"/>
            <w:tcBorders>
              <w:top w:val="single" w:color="000000" w:sz="4" w:space="0"/>
              <w:left w:val="single" w:color="000000" w:sz="4" w:space="0"/>
              <w:bottom w:val="single" w:color="000000" w:sz="4" w:space="0"/>
              <w:right w:val="single" w:color="000000" w:sz="4" w:space="0"/>
            </w:tcBorders>
            <w:vAlign w:val="center"/>
          </w:tcPr>
          <w:p>
            <w:pPr>
              <w:jc w:val="center"/>
              <w:rPr>
                <w:rFonts w:asciiTheme="minorEastAsia" w:hAnsiTheme="minorEastAsia"/>
                <w:kern w:val="0"/>
                <w:szCs w:val="21"/>
                <w:lang w:eastAsia="en-US"/>
              </w:rPr>
            </w:pPr>
            <w:r>
              <w:rPr>
                <w:rFonts w:asciiTheme="minorEastAsia" w:hAnsiTheme="minorEastAsia"/>
                <w:kern w:val="0"/>
                <w:szCs w:val="21"/>
                <w:lang w:eastAsia="en-US"/>
              </w:rPr>
              <w:t>9</w:t>
            </w:r>
          </w:p>
        </w:tc>
        <w:tc>
          <w:tcPr>
            <w:tcW w:w="2368" w:type="dxa"/>
            <w:tcBorders>
              <w:top w:val="single" w:color="000000" w:sz="4" w:space="0"/>
              <w:left w:val="single" w:color="000000" w:sz="4" w:space="0"/>
              <w:bottom w:val="single" w:color="000000" w:sz="4" w:space="0"/>
              <w:right w:val="single" w:color="000000" w:sz="4" w:space="0"/>
            </w:tcBorders>
            <w:vAlign w:val="center"/>
          </w:tcPr>
          <w:p>
            <w:pPr>
              <w:jc w:val="center"/>
              <w:rPr>
                <w:rFonts w:asciiTheme="minorEastAsia" w:hAnsiTheme="minorEastAsia"/>
                <w:kern w:val="0"/>
                <w:szCs w:val="21"/>
                <w:lang w:eastAsia="zh-CN"/>
              </w:rPr>
            </w:pPr>
            <w:r>
              <w:rPr>
                <w:rFonts w:asciiTheme="minorEastAsia" w:hAnsiTheme="minorEastAsia"/>
                <w:kern w:val="0"/>
                <w:szCs w:val="21"/>
                <w:lang w:eastAsia="zh-CN"/>
              </w:rPr>
              <w:t>是否采用电子招标投标</w:t>
            </w:r>
          </w:p>
        </w:tc>
        <w:tc>
          <w:tcPr>
            <w:tcW w:w="4910" w:type="dxa"/>
            <w:tcBorders>
              <w:top w:val="single" w:color="000000" w:sz="4" w:space="0"/>
              <w:left w:val="single" w:color="000000" w:sz="4" w:space="0"/>
              <w:bottom w:val="single" w:color="000000" w:sz="4" w:space="0"/>
              <w:right w:val="single" w:color="000000" w:sz="4" w:space="0"/>
            </w:tcBorders>
            <w:vAlign w:val="center"/>
          </w:tcPr>
          <w:p>
            <w:pPr>
              <w:spacing w:line="280" w:lineRule="exact"/>
              <w:rPr>
                <w:rFonts w:asciiTheme="minorEastAsia" w:hAnsiTheme="minorEastAsia"/>
                <w:kern w:val="0"/>
                <w:szCs w:val="21"/>
                <w:lang w:eastAsia="en-US"/>
              </w:rPr>
            </w:pPr>
            <w:r>
              <w:rPr>
                <w:rFonts w:asciiTheme="minorEastAsia" w:hAnsiTheme="minorEastAsia"/>
                <w:kern w:val="0"/>
                <w:szCs w:val="21"/>
                <w:lang w:eastAsia="en-US"/>
              </w:rPr>
              <w:t>是，具体要求：</w:t>
            </w:r>
          </w:p>
          <w:p>
            <w:pPr>
              <w:spacing w:line="280" w:lineRule="exact"/>
              <w:rPr>
                <w:rFonts w:asciiTheme="minorEastAsia" w:hAnsiTheme="minorEastAsia"/>
                <w:kern w:val="0"/>
                <w:szCs w:val="21"/>
                <w:lang w:eastAsia="zh-CN"/>
              </w:rPr>
            </w:pPr>
            <w:r>
              <w:rPr>
                <w:rFonts w:hint="eastAsia" w:ascii="宋体" w:hAnsi="宋体" w:cs="宋体"/>
                <w:b/>
                <w:szCs w:val="21"/>
                <w:lang w:eastAsia="en-US"/>
              </w:rPr>
              <w:t>本项目实行电子开评标，获取竞争性磋商文件后，请</w:t>
            </w:r>
            <w:r>
              <w:rPr>
                <w:rFonts w:hint="eastAsia" w:ascii="宋体" w:hAnsi="宋体" w:cs="宋体"/>
                <w:b/>
                <w:szCs w:val="21"/>
                <w:lang w:eastAsia="zh-CN"/>
              </w:rPr>
              <w:t>响应人</w:t>
            </w:r>
            <w:r>
              <w:rPr>
                <w:rFonts w:hint="eastAsia" w:ascii="宋体" w:hAnsi="宋体" w:cs="宋体"/>
                <w:b/>
                <w:szCs w:val="21"/>
                <w:lang w:eastAsia="en-US"/>
              </w:rPr>
              <w:t>在“郑州市公共资源交易中心网站（</w:t>
            </w:r>
            <w:r>
              <w:fldChar w:fldCharType="begin"/>
            </w:r>
            <w:r>
              <w:instrText xml:space="preserve"> HYPERLINK "http://www" </w:instrText>
            </w:r>
            <w:r>
              <w:fldChar w:fldCharType="separate"/>
            </w:r>
            <w:r>
              <w:rPr>
                <w:rStyle w:val="56"/>
                <w:rFonts w:hint="eastAsia" w:ascii="宋体" w:hAnsi="宋体" w:cs="宋体"/>
                <w:b/>
                <w:color w:val="auto"/>
                <w:szCs w:val="21"/>
                <w:lang w:eastAsia="en-US"/>
              </w:rPr>
              <w:t>http://www</w:t>
            </w:r>
            <w:r>
              <w:rPr>
                <w:rStyle w:val="56"/>
                <w:rFonts w:hint="eastAsia" w:ascii="宋体" w:hAnsi="宋体" w:cs="宋体"/>
                <w:b/>
                <w:color w:val="auto"/>
                <w:szCs w:val="21"/>
                <w:lang w:eastAsia="en-US"/>
              </w:rPr>
              <w:fldChar w:fldCharType="end"/>
            </w:r>
            <w:r>
              <w:rPr>
                <w:rFonts w:hint="eastAsia" w:ascii="宋体" w:hAnsi="宋体" w:cs="宋体"/>
                <w:b/>
                <w:szCs w:val="21"/>
                <w:lang w:eastAsia="en-US"/>
              </w:rPr>
              <w:t>.zzsggzy.com/）”首页“办事指南”栏目中下载最新版本的“郑州投标文件制作工具及操作手册”，安装工具软件后，使用“文件查看工具”打开竞争性磋商文件认真阅读。</w:t>
            </w:r>
            <w:r>
              <w:rPr>
                <w:rFonts w:hint="eastAsia" w:ascii="宋体" w:hAnsi="宋体" w:cs="宋体"/>
                <w:b/>
                <w:szCs w:val="21"/>
                <w:lang w:eastAsia="zh-CN"/>
              </w:rPr>
              <w:t>制作电子响应文件时必须使用“投标文件制作软件”。①加密的电子响应文件（.ZZTF 格式）须在截止时间前通过“郑州市公共资源交易中心”电子交易平台加密上传；②开标时，各响应人需携带本单位制作响应文件CA锁进行文件解密工作。③本项目二次报价采用网上报价（二次报价有时间限制</w:t>
            </w:r>
            <w:r>
              <w:rPr>
                <w:rFonts w:hint="eastAsia" w:ascii="宋体" w:hAnsi="宋体" w:cs="宋体"/>
                <w:b/>
                <w:szCs w:val="21"/>
                <w:lang w:val="en-US" w:eastAsia="zh-CN"/>
              </w:rPr>
              <w:t>,响应人如在交易平台系统规定时间内二次报价没有提交成功的，以第一次报价视为最终报价</w:t>
            </w:r>
            <w:r>
              <w:rPr>
                <w:rFonts w:hint="eastAsia" w:ascii="宋体" w:hAnsi="宋体" w:cs="宋体"/>
                <w:b/>
                <w:szCs w:val="21"/>
                <w:lang w:eastAsia="zh-CN"/>
              </w:rPr>
              <w:t>）。</w:t>
            </w:r>
          </w:p>
        </w:tc>
      </w:tr>
      <w:tr>
        <w:tblPrEx>
          <w:tblCellMar>
            <w:top w:w="0" w:type="dxa"/>
            <w:left w:w="0" w:type="dxa"/>
            <w:bottom w:w="0" w:type="dxa"/>
            <w:right w:w="0" w:type="dxa"/>
          </w:tblCellMar>
        </w:tblPrEx>
        <w:trPr>
          <w:trHeight w:val="546" w:hRule="exact"/>
        </w:trPr>
        <w:tc>
          <w:tcPr>
            <w:tcW w:w="1038" w:type="dxa"/>
            <w:tcBorders>
              <w:top w:val="single" w:color="000000" w:sz="4" w:space="0"/>
              <w:left w:val="single" w:color="000000" w:sz="4" w:space="0"/>
              <w:bottom w:val="single" w:color="000000" w:sz="4" w:space="0"/>
              <w:right w:val="single" w:color="000000" w:sz="4" w:space="0"/>
            </w:tcBorders>
            <w:vAlign w:val="center"/>
          </w:tcPr>
          <w:p>
            <w:pPr>
              <w:jc w:val="center"/>
              <w:rPr>
                <w:rFonts w:asciiTheme="minorEastAsia" w:hAnsiTheme="minorEastAsia"/>
                <w:kern w:val="0"/>
                <w:szCs w:val="21"/>
                <w:lang w:eastAsia="en-US"/>
              </w:rPr>
            </w:pPr>
            <w:r>
              <w:rPr>
                <w:rFonts w:asciiTheme="minorEastAsia" w:hAnsiTheme="minorEastAsia"/>
                <w:kern w:val="0"/>
                <w:szCs w:val="21"/>
                <w:lang w:eastAsia="en-US"/>
              </w:rPr>
              <w:t>10</w:t>
            </w:r>
          </w:p>
        </w:tc>
        <w:tc>
          <w:tcPr>
            <w:tcW w:w="7278"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Theme="minorEastAsia" w:hAnsiTheme="minorEastAsia"/>
                <w:kern w:val="0"/>
                <w:szCs w:val="21"/>
                <w:lang w:eastAsia="en-US"/>
              </w:rPr>
            </w:pPr>
            <w:r>
              <w:rPr>
                <w:rFonts w:asciiTheme="minorEastAsia" w:hAnsiTheme="minorEastAsia"/>
                <w:kern w:val="0"/>
                <w:szCs w:val="21"/>
                <w:lang w:eastAsia="en-US"/>
              </w:rPr>
              <w:t>需要补充的其他内容</w:t>
            </w:r>
          </w:p>
        </w:tc>
      </w:tr>
      <w:tr>
        <w:tblPrEx>
          <w:tblCellMar>
            <w:top w:w="0" w:type="dxa"/>
            <w:left w:w="0" w:type="dxa"/>
            <w:bottom w:w="0" w:type="dxa"/>
            <w:right w:w="0" w:type="dxa"/>
          </w:tblCellMar>
        </w:tblPrEx>
        <w:tc>
          <w:tcPr>
            <w:tcW w:w="1038" w:type="dxa"/>
            <w:tcBorders>
              <w:top w:val="single" w:color="000000" w:sz="4" w:space="0"/>
              <w:left w:val="single" w:color="000000" w:sz="4" w:space="0"/>
              <w:bottom w:val="single" w:color="000000" w:sz="4" w:space="0"/>
              <w:right w:val="single" w:color="000000" w:sz="4" w:space="0"/>
            </w:tcBorders>
            <w:vAlign w:val="center"/>
          </w:tcPr>
          <w:p>
            <w:pPr>
              <w:jc w:val="center"/>
              <w:rPr>
                <w:rFonts w:asciiTheme="minorEastAsia" w:hAnsiTheme="minorEastAsia"/>
                <w:kern w:val="0"/>
                <w:szCs w:val="21"/>
                <w:lang w:eastAsia="en-US"/>
              </w:rPr>
            </w:pPr>
            <w:r>
              <w:rPr>
                <w:rFonts w:hint="eastAsia" w:asciiTheme="minorEastAsia" w:hAnsiTheme="minorEastAsia"/>
                <w:kern w:val="0"/>
                <w:szCs w:val="21"/>
                <w:lang w:eastAsia="en-US"/>
              </w:rPr>
              <w:t>10.1</w:t>
            </w:r>
          </w:p>
        </w:tc>
        <w:tc>
          <w:tcPr>
            <w:tcW w:w="7278" w:type="dxa"/>
            <w:gridSpan w:val="2"/>
            <w:tcBorders>
              <w:top w:val="single" w:color="000000" w:sz="4" w:space="0"/>
              <w:left w:val="single" w:color="000000" w:sz="4" w:space="0"/>
              <w:bottom w:val="single" w:color="000000" w:sz="4" w:space="0"/>
              <w:right w:val="single" w:color="000000" w:sz="4" w:space="0"/>
            </w:tcBorders>
            <w:vAlign w:val="center"/>
          </w:tcPr>
          <w:p>
            <w:pPr>
              <w:spacing w:line="260" w:lineRule="exact"/>
              <w:rPr>
                <w:rFonts w:asciiTheme="minorEastAsia" w:hAnsiTheme="minorEastAsia"/>
                <w:kern w:val="0"/>
                <w:szCs w:val="21"/>
                <w:lang w:eastAsia="zh-CN"/>
              </w:rPr>
            </w:pPr>
            <w:r>
              <w:rPr>
                <w:rFonts w:hint="eastAsia" w:asciiTheme="minorEastAsia" w:hAnsiTheme="minorEastAsia"/>
                <w:kern w:val="0"/>
                <w:szCs w:val="21"/>
                <w:lang w:eastAsia="zh-CN"/>
              </w:rPr>
              <w:t>政府采购相关政策信息</w:t>
            </w:r>
          </w:p>
          <w:p>
            <w:pPr>
              <w:spacing w:line="260" w:lineRule="exact"/>
              <w:rPr>
                <w:rFonts w:asciiTheme="minorEastAsia" w:hAnsiTheme="minorEastAsia"/>
                <w:kern w:val="0"/>
                <w:szCs w:val="21"/>
                <w:lang w:eastAsia="zh-CN"/>
              </w:rPr>
            </w:pPr>
            <w:r>
              <w:rPr>
                <w:rFonts w:hint="eastAsia" w:asciiTheme="minorEastAsia" w:hAnsiTheme="minorEastAsia"/>
                <w:kern w:val="0"/>
                <w:szCs w:val="21"/>
                <w:lang w:eastAsia="zh-CN"/>
              </w:rPr>
              <w:t>A、本项目鼓励中小企业参与，小微企业须提交《中小企业声明函》原件，否则不予采纳；（声明函格式详见附件）</w:t>
            </w:r>
          </w:p>
          <w:p>
            <w:pPr>
              <w:spacing w:line="260" w:lineRule="exact"/>
              <w:rPr>
                <w:rFonts w:asciiTheme="minorEastAsia" w:hAnsiTheme="minorEastAsia"/>
                <w:kern w:val="0"/>
                <w:szCs w:val="21"/>
                <w:lang w:eastAsia="zh-CN"/>
              </w:rPr>
            </w:pPr>
            <w:r>
              <w:rPr>
                <w:rFonts w:hint="eastAsia" w:asciiTheme="minorEastAsia" w:hAnsiTheme="minorEastAsia"/>
                <w:kern w:val="0"/>
                <w:szCs w:val="21"/>
                <w:lang w:eastAsia="zh-CN"/>
              </w:rPr>
              <w:t>B、中小企业划型标准以工信部联企业〔2011〕300号《工业和信息化部国家统计局国家发展和改革委财政部关于印发中小企业划型标准规定的通知》为依据。其中企业的营业收入、资产总额判定依据为最近一年度的财务审计报告，企业从业人员总数判定依据为缴纳统筹人员总数。</w:t>
            </w:r>
          </w:p>
          <w:p>
            <w:pPr>
              <w:spacing w:line="260" w:lineRule="exact"/>
              <w:rPr>
                <w:rFonts w:asciiTheme="minorEastAsia" w:hAnsiTheme="minorEastAsia"/>
                <w:kern w:val="0"/>
                <w:szCs w:val="21"/>
                <w:lang w:eastAsia="zh-CN"/>
              </w:rPr>
            </w:pPr>
            <w:r>
              <w:rPr>
                <w:rFonts w:hint="eastAsia" w:asciiTheme="minorEastAsia" w:hAnsiTheme="minorEastAsia"/>
                <w:kern w:val="0"/>
                <w:szCs w:val="21"/>
                <w:lang w:eastAsia="zh-CN"/>
              </w:rPr>
              <w:t>C、根据《财政部、司法部关于政府采购支持监狱企业发展有关问题的通知》（财库[2014]68号）规定，本项目支持监狱企业参与政府采购活动。监狱企业参加本项目采购时，须提供由省级以上监狱管理局、戒毒管理局（含新疆生产建设兵团）出具的属于监狱企业的证明文件，视同小型、微型企业，享受评审中价格扣除等政府采购促进中小企业发展的政府采购政策。</w:t>
            </w:r>
          </w:p>
          <w:p>
            <w:pPr>
              <w:spacing w:line="260" w:lineRule="exact"/>
              <w:rPr>
                <w:rFonts w:asciiTheme="minorEastAsia" w:hAnsiTheme="minorEastAsia"/>
                <w:kern w:val="0"/>
                <w:szCs w:val="21"/>
                <w:lang w:eastAsia="zh-CN"/>
              </w:rPr>
            </w:pPr>
            <w:r>
              <w:rPr>
                <w:rFonts w:hint="eastAsia" w:asciiTheme="minorEastAsia" w:hAnsiTheme="minorEastAsia"/>
                <w:kern w:val="0"/>
                <w:szCs w:val="21"/>
                <w:lang w:eastAsia="zh-CN"/>
              </w:rPr>
              <w:t>D、根据《财政部、民政部、中国残疾人联合会关于关于促进残疾人就业政府采购政策的通知》（财库〔2017〕141号）规定，本项目支持残疾人福利性单位参与政府采购活动。在政府采购活动中，残疾人福利性单位视同小型、微型企业，享受预留份额、评审中价格扣除等促进中小企业发展的政府采购政策。</w:t>
            </w:r>
          </w:p>
          <w:p>
            <w:pPr>
              <w:spacing w:line="260" w:lineRule="exact"/>
              <w:rPr>
                <w:rFonts w:asciiTheme="minorEastAsia" w:hAnsiTheme="minorEastAsia"/>
                <w:kern w:val="0"/>
                <w:szCs w:val="21"/>
                <w:lang w:eastAsia="zh-CN"/>
              </w:rPr>
            </w:pPr>
            <w:r>
              <w:rPr>
                <w:rFonts w:hint="eastAsia" w:asciiTheme="minorEastAsia" w:hAnsiTheme="minorEastAsia"/>
                <w:kern w:val="0"/>
                <w:szCs w:val="21"/>
                <w:lang w:eastAsia="zh-CN"/>
              </w:rPr>
              <w:t>E、竞争性磋商文件的最终解释权归采购人，其它未尽事宜，按国家有关法律、法规执行</w:t>
            </w:r>
          </w:p>
        </w:tc>
      </w:tr>
      <w:tr>
        <w:tblPrEx>
          <w:tblCellMar>
            <w:top w:w="0" w:type="dxa"/>
            <w:left w:w="0" w:type="dxa"/>
            <w:bottom w:w="0" w:type="dxa"/>
            <w:right w:w="0" w:type="dxa"/>
          </w:tblCellMar>
        </w:tblPrEx>
        <w:tc>
          <w:tcPr>
            <w:tcW w:w="1038" w:type="dxa"/>
            <w:tcBorders>
              <w:top w:val="single" w:color="000000" w:sz="4" w:space="0"/>
              <w:left w:val="single" w:color="000000" w:sz="4" w:space="0"/>
              <w:bottom w:val="single" w:color="000000" w:sz="4" w:space="0"/>
              <w:right w:val="single" w:color="000000" w:sz="4" w:space="0"/>
            </w:tcBorders>
            <w:vAlign w:val="center"/>
          </w:tcPr>
          <w:p>
            <w:pPr>
              <w:jc w:val="center"/>
              <w:rPr>
                <w:rFonts w:asciiTheme="minorEastAsia" w:hAnsiTheme="minorEastAsia"/>
                <w:kern w:val="0"/>
                <w:szCs w:val="21"/>
                <w:lang w:eastAsia="en-US"/>
              </w:rPr>
            </w:pPr>
            <w:r>
              <w:rPr>
                <w:rFonts w:hint="eastAsia" w:asciiTheme="minorEastAsia" w:hAnsiTheme="minorEastAsia"/>
                <w:kern w:val="0"/>
                <w:szCs w:val="21"/>
                <w:lang w:eastAsia="en-US"/>
              </w:rPr>
              <w:t>10.</w:t>
            </w:r>
            <w:r>
              <w:rPr>
                <w:rFonts w:asciiTheme="minorEastAsia" w:hAnsiTheme="minorEastAsia"/>
                <w:kern w:val="0"/>
                <w:szCs w:val="21"/>
                <w:lang w:eastAsia="en-US"/>
              </w:rPr>
              <w:t>2</w:t>
            </w:r>
          </w:p>
        </w:tc>
        <w:tc>
          <w:tcPr>
            <w:tcW w:w="7278" w:type="dxa"/>
            <w:gridSpan w:val="2"/>
            <w:tcBorders>
              <w:top w:val="single" w:color="000000" w:sz="4" w:space="0"/>
              <w:left w:val="single" w:color="000000" w:sz="4" w:space="0"/>
              <w:bottom w:val="single" w:color="000000" w:sz="4" w:space="0"/>
              <w:right w:val="single" w:color="000000" w:sz="4" w:space="0"/>
            </w:tcBorders>
            <w:vAlign w:val="center"/>
          </w:tcPr>
          <w:p>
            <w:pPr>
              <w:rPr>
                <w:rFonts w:asciiTheme="minorEastAsia" w:hAnsiTheme="minorEastAsia"/>
                <w:kern w:val="0"/>
                <w:szCs w:val="21"/>
                <w:lang w:eastAsia="zh-CN"/>
              </w:rPr>
            </w:pPr>
            <w:r>
              <w:rPr>
                <w:rFonts w:hint="eastAsia" w:asciiTheme="minorEastAsia" w:hAnsiTheme="minorEastAsia"/>
                <w:kern w:val="0"/>
                <w:szCs w:val="21"/>
                <w:lang w:eastAsia="zh-CN"/>
              </w:rPr>
              <w:t>付款条件：按财政资金拨付进度执行</w:t>
            </w:r>
          </w:p>
          <w:p>
            <w:pPr>
              <w:rPr>
                <w:rFonts w:asciiTheme="minorEastAsia" w:hAnsiTheme="minorEastAsia"/>
                <w:kern w:val="0"/>
                <w:szCs w:val="21"/>
                <w:lang w:eastAsia="zh-CN"/>
              </w:rPr>
            </w:pPr>
            <w:r>
              <w:rPr>
                <w:rFonts w:hint="eastAsia" w:asciiTheme="minorEastAsia" w:hAnsiTheme="minorEastAsia"/>
                <w:kern w:val="0"/>
                <w:szCs w:val="21"/>
                <w:lang w:eastAsia="zh-CN"/>
              </w:rPr>
              <w:t>申请付款时必须提交以下文件和资料：</w:t>
            </w:r>
          </w:p>
          <w:p>
            <w:pPr>
              <w:rPr>
                <w:rFonts w:asciiTheme="minorEastAsia" w:hAnsiTheme="minorEastAsia"/>
                <w:kern w:val="0"/>
                <w:szCs w:val="21"/>
                <w:lang w:eastAsia="zh-CN"/>
              </w:rPr>
            </w:pPr>
            <w:r>
              <w:rPr>
                <w:rFonts w:hint="eastAsia" w:asciiTheme="minorEastAsia" w:hAnsiTheme="minorEastAsia"/>
                <w:kern w:val="0"/>
                <w:szCs w:val="21"/>
                <w:lang w:eastAsia="zh-CN"/>
              </w:rPr>
              <w:t>（1）、资金支付申请表；（2）、合同。</w:t>
            </w:r>
          </w:p>
        </w:tc>
      </w:tr>
      <w:tr>
        <w:tblPrEx>
          <w:tblCellMar>
            <w:top w:w="0" w:type="dxa"/>
            <w:left w:w="0" w:type="dxa"/>
            <w:bottom w:w="0" w:type="dxa"/>
            <w:right w:w="0" w:type="dxa"/>
          </w:tblCellMar>
        </w:tblPrEx>
        <w:tc>
          <w:tcPr>
            <w:tcW w:w="1038" w:type="dxa"/>
            <w:tcBorders>
              <w:top w:val="single" w:color="000000" w:sz="4" w:space="0"/>
              <w:left w:val="single" w:color="000000" w:sz="4" w:space="0"/>
              <w:bottom w:val="single" w:color="000000" w:sz="4" w:space="0"/>
              <w:right w:val="single" w:color="000000" w:sz="4" w:space="0"/>
            </w:tcBorders>
            <w:vAlign w:val="center"/>
          </w:tcPr>
          <w:p>
            <w:pPr>
              <w:jc w:val="center"/>
              <w:rPr>
                <w:rFonts w:asciiTheme="minorEastAsia" w:hAnsiTheme="minorEastAsia"/>
                <w:kern w:val="0"/>
                <w:szCs w:val="21"/>
                <w:lang w:eastAsia="en-US"/>
              </w:rPr>
            </w:pPr>
            <w:r>
              <w:rPr>
                <w:rFonts w:hint="eastAsia" w:asciiTheme="minorEastAsia" w:hAnsiTheme="minorEastAsia"/>
                <w:kern w:val="0"/>
                <w:szCs w:val="21"/>
                <w:lang w:eastAsia="en-US"/>
              </w:rPr>
              <w:t>10.</w:t>
            </w:r>
            <w:r>
              <w:rPr>
                <w:rFonts w:asciiTheme="minorEastAsia" w:hAnsiTheme="minorEastAsia"/>
                <w:kern w:val="0"/>
                <w:szCs w:val="21"/>
                <w:lang w:eastAsia="en-US"/>
              </w:rPr>
              <w:t>3</w:t>
            </w:r>
          </w:p>
        </w:tc>
        <w:tc>
          <w:tcPr>
            <w:tcW w:w="7278" w:type="dxa"/>
            <w:gridSpan w:val="2"/>
            <w:tcBorders>
              <w:top w:val="single" w:color="000000" w:sz="4" w:space="0"/>
              <w:left w:val="single" w:color="000000" w:sz="4" w:space="0"/>
              <w:bottom w:val="single" w:color="000000" w:sz="4" w:space="0"/>
              <w:right w:val="single" w:color="000000" w:sz="4" w:space="0"/>
            </w:tcBorders>
            <w:vAlign w:val="center"/>
          </w:tcPr>
          <w:p>
            <w:pPr>
              <w:rPr>
                <w:rFonts w:asciiTheme="minorEastAsia" w:hAnsiTheme="minorEastAsia"/>
                <w:kern w:val="0"/>
                <w:szCs w:val="21"/>
                <w:lang w:eastAsia="zh-CN"/>
              </w:rPr>
            </w:pPr>
            <w:r>
              <w:rPr>
                <w:rFonts w:hint="eastAsia" w:asciiTheme="minorEastAsia" w:hAnsiTheme="minorEastAsia"/>
                <w:kern w:val="0"/>
                <w:szCs w:val="21"/>
                <w:lang w:eastAsia="zh-CN"/>
              </w:rPr>
              <w:t>代理服务费：</w:t>
            </w:r>
          </w:p>
          <w:p>
            <w:pPr>
              <w:rPr>
                <w:rFonts w:asciiTheme="minorEastAsia" w:hAnsiTheme="minorEastAsia"/>
                <w:kern w:val="0"/>
                <w:szCs w:val="21"/>
                <w:lang w:eastAsia="zh-CN"/>
              </w:rPr>
            </w:pPr>
            <w:r>
              <w:rPr>
                <w:rFonts w:hint="eastAsia" w:asciiTheme="minorEastAsia" w:hAnsiTheme="minorEastAsia"/>
                <w:kern w:val="0"/>
                <w:szCs w:val="21"/>
                <w:lang w:eastAsia="zh-CN"/>
              </w:rPr>
              <w:t>（1）根据国家发展改革委关于进一步放开建设项目专业服务价格的通知【发改价格[2015] 299号】，本次招标项目代理服务费为预算价的1.</w:t>
            </w:r>
            <w:r>
              <w:rPr>
                <w:rFonts w:asciiTheme="minorEastAsia" w:hAnsiTheme="minorEastAsia"/>
                <w:kern w:val="0"/>
                <w:szCs w:val="21"/>
                <w:lang w:eastAsia="zh-CN"/>
              </w:rPr>
              <w:t>0</w:t>
            </w:r>
            <w:r>
              <w:rPr>
                <w:rFonts w:hint="eastAsia" w:asciiTheme="minorEastAsia" w:hAnsiTheme="minorEastAsia"/>
                <w:kern w:val="0"/>
                <w:szCs w:val="21"/>
                <w:lang w:eastAsia="zh-CN"/>
              </w:rPr>
              <w:t>%，由成交单位在领取成交通知书时缴纳。</w:t>
            </w:r>
          </w:p>
          <w:p>
            <w:pPr>
              <w:rPr>
                <w:rFonts w:asciiTheme="minorEastAsia" w:hAnsiTheme="minorEastAsia"/>
                <w:kern w:val="0"/>
                <w:szCs w:val="21"/>
                <w:lang w:eastAsia="zh-CN"/>
              </w:rPr>
            </w:pPr>
            <w:r>
              <w:rPr>
                <w:rFonts w:hint="eastAsia" w:asciiTheme="minorEastAsia" w:hAnsiTheme="minorEastAsia"/>
                <w:kern w:val="0"/>
                <w:szCs w:val="21"/>
                <w:lang w:eastAsia="zh-CN"/>
              </w:rPr>
              <w:t>（2）招标代理服务费的交纳方式：成交人在领取成交通知书时，按竞争性磋商文件的要求一次性向采购代理机构缴纳招标代理服务费，可用支票、汇票、电汇或商定的其他付款方式。</w:t>
            </w:r>
          </w:p>
          <w:p>
            <w:pPr>
              <w:rPr>
                <w:rFonts w:asciiTheme="minorEastAsia" w:hAnsiTheme="minorEastAsia"/>
                <w:kern w:val="0"/>
                <w:szCs w:val="21"/>
                <w:lang w:eastAsia="zh-CN"/>
              </w:rPr>
            </w:pPr>
            <w:r>
              <w:rPr>
                <w:rFonts w:hint="eastAsia" w:asciiTheme="minorEastAsia" w:hAnsiTheme="minorEastAsia"/>
                <w:kern w:val="0"/>
                <w:szCs w:val="21"/>
                <w:lang w:eastAsia="zh-CN"/>
              </w:rPr>
              <w:t>单位名称：河南省伟信招标管理咨询有限公司</w:t>
            </w:r>
          </w:p>
          <w:p>
            <w:pPr>
              <w:rPr>
                <w:rFonts w:asciiTheme="minorEastAsia" w:hAnsiTheme="minorEastAsia"/>
                <w:kern w:val="0"/>
                <w:szCs w:val="21"/>
                <w:lang w:eastAsia="zh-CN"/>
              </w:rPr>
            </w:pPr>
            <w:r>
              <w:rPr>
                <w:rFonts w:hint="eastAsia" w:asciiTheme="minorEastAsia" w:hAnsiTheme="minorEastAsia"/>
                <w:kern w:val="0"/>
                <w:szCs w:val="21"/>
                <w:lang w:eastAsia="zh-CN"/>
              </w:rPr>
              <w:t>开   户  行：中国民生银行郑州商都路支行</w:t>
            </w:r>
          </w:p>
          <w:p>
            <w:pPr>
              <w:rPr>
                <w:rFonts w:asciiTheme="minorEastAsia" w:hAnsiTheme="minorEastAsia"/>
                <w:kern w:val="0"/>
                <w:szCs w:val="21"/>
                <w:lang w:eastAsia="en-US"/>
              </w:rPr>
            </w:pPr>
            <w:r>
              <w:rPr>
                <w:rFonts w:hint="eastAsia" w:asciiTheme="minorEastAsia" w:hAnsiTheme="minorEastAsia"/>
                <w:kern w:val="0"/>
                <w:szCs w:val="21"/>
                <w:lang w:eastAsia="en-US"/>
              </w:rPr>
              <w:t>银行帐号：3005 0141 7000 0033</w:t>
            </w:r>
          </w:p>
        </w:tc>
      </w:tr>
      <w:tr>
        <w:tblPrEx>
          <w:tblCellMar>
            <w:top w:w="0" w:type="dxa"/>
            <w:left w:w="0" w:type="dxa"/>
            <w:bottom w:w="0" w:type="dxa"/>
            <w:right w:w="0" w:type="dxa"/>
          </w:tblCellMar>
        </w:tblPrEx>
        <w:trPr>
          <w:trHeight w:val="416" w:hRule="atLeast"/>
        </w:trPr>
        <w:tc>
          <w:tcPr>
            <w:tcW w:w="1038" w:type="dxa"/>
            <w:tcBorders>
              <w:top w:val="single" w:color="000000" w:sz="4" w:space="0"/>
              <w:left w:val="single" w:color="000000" w:sz="4" w:space="0"/>
              <w:bottom w:val="single" w:color="000000" w:sz="4" w:space="0"/>
              <w:right w:val="single" w:color="000000" w:sz="4" w:space="0"/>
            </w:tcBorders>
            <w:vAlign w:val="center"/>
          </w:tcPr>
          <w:p>
            <w:pPr>
              <w:jc w:val="center"/>
              <w:rPr>
                <w:rFonts w:asciiTheme="minorEastAsia" w:hAnsiTheme="minorEastAsia"/>
                <w:kern w:val="0"/>
                <w:szCs w:val="21"/>
                <w:lang w:eastAsia="en-US"/>
              </w:rPr>
            </w:pPr>
            <w:r>
              <w:rPr>
                <w:rFonts w:asciiTheme="minorEastAsia" w:hAnsiTheme="minorEastAsia"/>
                <w:kern w:val="0"/>
                <w:szCs w:val="21"/>
                <w:lang w:eastAsia="en-US"/>
              </w:rPr>
              <w:t>……</w:t>
            </w:r>
          </w:p>
        </w:tc>
        <w:tc>
          <w:tcPr>
            <w:tcW w:w="7278"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Theme="minorEastAsia" w:hAnsiTheme="minorEastAsia"/>
                <w:kern w:val="0"/>
                <w:szCs w:val="21"/>
                <w:lang w:eastAsia="en-US"/>
              </w:rPr>
            </w:pPr>
            <w:r>
              <w:rPr>
                <w:rFonts w:asciiTheme="minorEastAsia" w:hAnsiTheme="minorEastAsia"/>
                <w:kern w:val="0"/>
                <w:szCs w:val="21"/>
                <w:lang w:eastAsia="en-US"/>
              </w:rPr>
              <w:t>……</w:t>
            </w:r>
          </w:p>
        </w:tc>
      </w:tr>
    </w:tbl>
    <w:p>
      <w:pPr>
        <w:widowControl/>
        <w:jc w:val="left"/>
        <w:rPr>
          <w:rFonts w:asciiTheme="minorEastAsia" w:hAnsiTheme="minorEastAsia" w:cstheme="majorBidi"/>
          <w:b/>
          <w:bCs/>
          <w:kern w:val="28"/>
          <w:sz w:val="28"/>
          <w:szCs w:val="32"/>
        </w:rPr>
      </w:pPr>
      <w:r>
        <w:rPr>
          <w:rFonts w:asciiTheme="minorEastAsia" w:hAnsiTheme="minorEastAsia"/>
          <w:sz w:val="28"/>
        </w:rPr>
        <w:br w:type="page"/>
      </w:r>
    </w:p>
    <w:p>
      <w:pPr>
        <w:pStyle w:val="33"/>
        <w:rPr>
          <w:rFonts w:asciiTheme="minorEastAsia" w:hAnsiTheme="minorEastAsia" w:eastAsiaTheme="minorEastAsia"/>
          <w:sz w:val="28"/>
        </w:rPr>
      </w:pPr>
      <w:bookmarkStart w:id="3" w:name="_Toc43371474"/>
      <w:r>
        <w:rPr>
          <w:rFonts w:hint="eastAsia" w:asciiTheme="minorEastAsia" w:hAnsiTheme="minorEastAsia" w:eastAsiaTheme="minorEastAsia"/>
          <w:sz w:val="28"/>
          <w:lang w:eastAsia="zh-CN"/>
        </w:rPr>
        <w:t>响应人</w:t>
      </w:r>
      <w:r>
        <w:rPr>
          <w:rFonts w:hint="eastAsia" w:asciiTheme="minorEastAsia" w:hAnsiTheme="minorEastAsia" w:eastAsiaTheme="minorEastAsia"/>
          <w:sz w:val="28"/>
        </w:rPr>
        <w:t>须知</w:t>
      </w:r>
      <w:bookmarkEnd w:id="3"/>
    </w:p>
    <w:p>
      <w:pPr>
        <w:pStyle w:val="6"/>
        <w:spacing w:before="0" w:after="0" w:line="360" w:lineRule="auto"/>
        <w:rPr>
          <w:rFonts w:asciiTheme="minorEastAsia" w:hAnsiTheme="minorEastAsia"/>
          <w:sz w:val="28"/>
        </w:rPr>
      </w:pPr>
      <w:bookmarkStart w:id="4" w:name="_Toc43371475"/>
      <w:r>
        <w:rPr>
          <w:rFonts w:hint="eastAsia" w:asciiTheme="minorEastAsia" w:hAnsiTheme="minorEastAsia"/>
          <w:sz w:val="28"/>
        </w:rPr>
        <w:t>1.  总则</w:t>
      </w:r>
      <w:bookmarkEnd w:id="4"/>
    </w:p>
    <w:p>
      <w:pPr>
        <w:pStyle w:val="7"/>
        <w:spacing w:before="0" w:after="0" w:line="360" w:lineRule="auto"/>
        <w:rPr>
          <w:rFonts w:asciiTheme="minorEastAsia" w:hAnsiTheme="minorEastAsia" w:eastAsiaTheme="minorEastAsia"/>
          <w:sz w:val="21"/>
        </w:rPr>
      </w:pPr>
      <w:r>
        <w:rPr>
          <w:rFonts w:hint="eastAsia" w:asciiTheme="minorEastAsia" w:hAnsiTheme="minorEastAsia" w:eastAsiaTheme="minorEastAsia"/>
          <w:sz w:val="21"/>
        </w:rPr>
        <w:t>1.1项目概况</w:t>
      </w:r>
    </w:p>
    <w:p>
      <w:pPr>
        <w:spacing w:line="360" w:lineRule="auto"/>
        <w:ind w:firstLine="424" w:firstLineChars="202"/>
        <w:rPr>
          <w:rFonts w:asciiTheme="minorEastAsia" w:hAnsiTheme="minorEastAsia"/>
        </w:rPr>
      </w:pPr>
      <w:r>
        <w:rPr>
          <w:rFonts w:hint="eastAsia" w:asciiTheme="minorEastAsia" w:hAnsiTheme="minorEastAsia"/>
        </w:rPr>
        <w:t>1.1.1 根据《中华人民共和国政府采购法》、《中华人民共和国政府采购法实施条例》、</w:t>
      </w:r>
      <w:r>
        <w:rPr>
          <w:rFonts w:hint="eastAsia" w:ascii="宋体" w:hAnsi="宋体" w:eastAsia="宋体" w:cs="宋体"/>
          <w:kern w:val="0"/>
          <w:szCs w:val="21"/>
        </w:rPr>
        <w:t>《政府采购竞争性磋商采购方式管理暂行办法》</w:t>
      </w:r>
      <w:r>
        <w:rPr>
          <w:rFonts w:hint="eastAsia" w:asciiTheme="minorEastAsia" w:hAnsiTheme="minorEastAsia"/>
        </w:rPr>
        <w:t>等有关法律、法规和规章的规定，本项目已具备采购条件，现进行竞争性磋商。</w:t>
      </w:r>
    </w:p>
    <w:p>
      <w:pPr>
        <w:spacing w:line="360" w:lineRule="auto"/>
        <w:ind w:firstLine="424" w:firstLineChars="202"/>
        <w:rPr>
          <w:rFonts w:asciiTheme="minorEastAsia" w:hAnsiTheme="minorEastAsia"/>
        </w:rPr>
      </w:pPr>
      <w:r>
        <w:rPr>
          <w:rFonts w:hint="eastAsia" w:asciiTheme="minorEastAsia" w:hAnsiTheme="minorEastAsia"/>
        </w:rPr>
        <w:t>1.1.2 采购人：见</w:t>
      </w:r>
      <w:r>
        <w:rPr>
          <w:rFonts w:hint="eastAsia" w:asciiTheme="minorEastAsia" w:hAnsiTheme="minorEastAsia"/>
          <w:lang w:eastAsia="zh-CN"/>
        </w:rPr>
        <w:t>响应人</w:t>
      </w:r>
      <w:r>
        <w:rPr>
          <w:rFonts w:hint="eastAsia" w:asciiTheme="minorEastAsia" w:hAnsiTheme="minorEastAsia"/>
        </w:rPr>
        <w:t>须知前附表。</w:t>
      </w:r>
    </w:p>
    <w:p>
      <w:pPr>
        <w:spacing w:line="360" w:lineRule="auto"/>
        <w:ind w:firstLine="424" w:firstLineChars="202"/>
        <w:rPr>
          <w:rFonts w:asciiTheme="minorEastAsia" w:hAnsiTheme="minorEastAsia"/>
        </w:rPr>
      </w:pPr>
      <w:r>
        <w:rPr>
          <w:rFonts w:hint="eastAsia" w:asciiTheme="minorEastAsia" w:hAnsiTheme="minorEastAsia"/>
        </w:rPr>
        <w:t>1.1.3 采购代理机构：见</w:t>
      </w:r>
      <w:r>
        <w:rPr>
          <w:rFonts w:hint="eastAsia" w:asciiTheme="minorEastAsia" w:hAnsiTheme="minorEastAsia"/>
          <w:lang w:eastAsia="zh-CN"/>
        </w:rPr>
        <w:t>响应人</w:t>
      </w:r>
      <w:r>
        <w:rPr>
          <w:rFonts w:hint="eastAsia" w:asciiTheme="minorEastAsia" w:hAnsiTheme="minorEastAsia"/>
        </w:rPr>
        <w:t>须知前附表。</w:t>
      </w:r>
    </w:p>
    <w:p>
      <w:pPr>
        <w:spacing w:line="360" w:lineRule="auto"/>
        <w:ind w:firstLine="424" w:firstLineChars="202"/>
        <w:rPr>
          <w:rFonts w:asciiTheme="minorEastAsia" w:hAnsiTheme="minorEastAsia"/>
        </w:rPr>
      </w:pPr>
      <w:r>
        <w:rPr>
          <w:rFonts w:hint="eastAsia" w:asciiTheme="minorEastAsia" w:hAnsiTheme="minorEastAsia"/>
        </w:rPr>
        <w:t>1.1.4项目名称：见</w:t>
      </w:r>
      <w:r>
        <w:rPr>
          <w:rFonts w:hint="eastAsia" w:asciiTheme="minorEastAsia" w:hAnsiTheme="minorEastAsia"/>
          <w:lang w:eastAsia="zh-CN"/>
        </w:rPr>
        <w:t>响应人</w:t>
      </w:r>
      <w:r>
        <w:rPr>
          <w:rFonts w:hint="eastAsia" w:asciiTheme="minorEastAsia" w:hAnsiTheme="minorEastAsia"/>
        </w:rPr>
        <w:t>须知前附表。</w:t>
      </w:r>
    </w:p>
    <w:p>
      <w:pPr>
        <w:spacing w:line="360" w:lineRule="auto"/>
        <w:ind w:firstLine="424" w:firstLineChars="202"/>
        <w:rPr>
          <w:rFonts w:asciiTheme="minorEastAsia" w:hAnsiTheme="minorEastAsia"/>
        </w:rPr>
      </w:pPr>
      <w:r>
        <w:rPr>
          <w:rFonts w:hint="eastAsia" w:asciiTheme="minorEastAsia" w:hAnsiTheme="minorEastAsia"/>
        </w:rPr>
        <w:t>1.1.5 本项目建设地点：见</w:t>
      </w:r>
      <w:r>
        <w:rPr>
          <w:rFonts w:hint="eastAsia" w:asciiTheme="minorEastAsia" w:hAnsiTheme="minorEastAsia"/>
          <w:lang w:eastAsia="zh-CN"/>
        </w:rPr>
        <w:t>响应人</w:t>
      </w:r>
      <w:r>
        <w:rPr>
          <w:rFonts w:hint="eastAsia" w:asciiTheme="minorEastAsia" w:hAnsiTheme="minorEastAsia"/>
        </w:rPr>
        <w:t>须知前附表。</w:t>
      </w:r>
    </w:p>
    <w:p>
      <w:pPr>
        <w:pStyle w:val="7"/>
        <w:spacing w:before="0" w:after="0" w:line="360" w:lineRule="auto"/>
        <w:rPr>
          <w:rFonts w:asciiTheme="minorEastAsia" w:hAnsiTheme="minorEastAsia" w:eastAsiaTheme="minorEastAsia"/>
          <w:sz w:val="21"/>
        </w:rPr>
      </w:pPr>
      <w:r>
        <w:rPr>
          <w:rFonts w:hint="eastAsia" w:asciiTheme="minorEastAsia" w:hAnsiTheme="minorEastAsia" w:eastAsiaTheme="minorEastAsia"/>
          <w:sz w:val="21"/>
        </w:rPr>
        <w:t>1.2  项目的预算金额和落实情况</w:t>
      </w:r>
    </w:p>
    <w:p>
      <w:pPr>
        <w:spacing w:line="360" w:lineRule="auto"/>
        <w:ind w:firstLine="424" w:firstLineChars="202"/>
        <w:rPr>
          <w:rFonts w:asciiTheme="minorEastAsia" w:hAnsiTheme="minorEastAsia"/>
        </w:rPr>
      </w:pPr>
      <w:r>
        <w:rPr>
          <w:rFonts w:hint="eastAsia" w:asciiTheme="minorEastAsia" w:hAnsiTheme="minorEastAsia"/>
        </w:rPr>
        <w:t>1.2.1项目预算金额：见</w:t>
      </w:r>
      <w:r>
        <w:rPr>
          <w:rFonts w:hint="eastAsia" w:asciiTheme="minorEastAsia" w:hAnsiTheme="minorEastAsia"/>
          <w:lang w:eastAsia="zh-CN"/>
        </w:rPr>
        <w:t>响应人</w:t>
      </w:r>
      <w:r>
        <w:rPr>
          <w:rFonts w:hint="eastAsia" w:asciiTheme="minorEastAsia" w:hAnsiTheme="minorEastAsia"/>
        </w:rPr>
        <w:t>须知前附表。</w:t>
      </w:r>
    </w:p>
    <w:p>
      <w:pPr>
        <w:spacing w:line="360" w:lineRule="auto"/>
        <w:ind w:firstLine="424" w:firstLineChars="202"/>
        <w:rPr>
          <w:rFonts w:asciiTheme="minorEastAsia" w:hAnsiTheme="minorEastAsia"/>
        </w:rPr>
      </w:pPr>
      <w:r>
        <w:rPr>
          <w:rFonts w:hint="eastAsia" w:asciiTheme="minorEastAsia" w:hAnsiTheme="minorEastAsia"/>
        </w:rPr>
        <w:t>1.2.2 资金落实情况：见</w:t>
      </w:r>
      <w:r>
        <w:rPr>
          <w:rFonts w:hint="eastAsia" w:asciiTheme="minorEastAsia" w:hAnsiTheme="minorEastAsia"/>
          <w:lang w:eastAsia="zh-CN"/>
        </w:rPr>
        <w:t>响应人</w:t>
      </w:r>
      <w:r>
        <w:rPr>
          <w:rFonts w:hint="eastAsia" w:asciiTheme="minorEastAsia" w:hAnsiTheme="minorEastAsia"/>
        </w:rPr>
        <w:t>须知前附表。</w:t>
      </w:r>
    </w:p>
    <w:p>
      <w:pPr>
        <w:pStyle w:val="7"/>
        <w:spacing w:before="0" w:after="0" w:line="360" w:lineRule="auto"/>
        <w:rPr>
          <w:sz w:val="21"/>
        </w:rPr>
      </w:pPr>
      <w:r>
        <w:rPr>
          <w:rFonts w:hint="eastAsia"/>
          <w:sz w:val="21"/>
        </w:rPr>
        <w:t>1.3 磋商范围、计划工期、质量要求</w:t>
      </w:r>
    </w:p>
    <w:p>
      <w:pPr>
        <w:spacing w:line="360" w:lineRule="auto"/>
        <w:ind w:firstLine="424" w:firstLineChars="202"/>
        <w:rPr>
          <w:rFonts w:asciiTheme="minorEastAsia" w:hAnsiTheme="minorEastAsia"/>
        </w:rPr>
      </w:pPr>
      <w:r>
        <w:rPr>
          <w:rFonts w:hint="eastAsia" w:asciiTheme="minorEastAsia" w:hAnsiTheme="minorEastAsia"/>
        </w:rPr>
        <w:t>1.3.1磋商范围：见</w:t>
      </w:r>
      <w:r>
        <w:rPr>
          <w:rFonts w:hint="eastAsia" w:asciiTheme="minorEastAsia" w:hAnsiTheme="minorEastAsia"/>
          <w:lang w:eastAsia="zh-CN"/>
        </w:rPr>
        <w:t>响应人</w:t>
      </w:r>
      <w:r>
        <w:rPr>
          <w:rFonts w:hint="eastAsia" w:asciiTheme="minorEastAsia" w:hAnsiTheme="minorEastAsia"/>
        </w:rPr>
        <w:t>须知前附表。</w:t>
      </w:r>
    </w:p>
    <w:p>
      <w:pPr>
        <w:spacing w:line="360" w:lineRule="auto"/>
        <w:ind w:firstLine="424" w:firstLineChars="202"/>
        <w:rPr>
          <w:rFonts w:asciiTheme="minorEastAsia" w:hAnsiTheme="minorEastAsia"/>
        </w:rPr>
      </w:pPr>
      <w:r>
        <w:rPr>
          <w:rFonts w:hint="eastAsia" w:asciiTheme="minorEastAsia" w:hAnsiTheme="minorEastAsia"/>
        </w:rPr>
        <w:t>1.3.2 计划工期：见</w:t>
      </w:r>
      <w:r>
        <w:rPr>
          <w:rFonts w:hint="eastAsia" w:asciiTheme="minorEastAsia" w:hAnsiTheme="minorEastAsia"/>
          <w:lang w:eastAsia="zh-CN"/>
        </w:rPr>
        <w:t>响应人</w:t>
      </w:r>
      <w:r>
        <w:rPr>
          <w:rFonts w:hint="eastAsia" w:asciiTheme="minorEastAsia" w:hAnsiTheme="minorEastAsia"/>
        </w:rPr>
        <w:t>须知前附表。</w:t>
      </w:r>
    </w:p>
    <w:p>
      <w:pPr>
        <w:spacing w:line="360" w:lineRule="auto"/>
        <w:ind w:firstLine="424" w:firstLineChars="202"/>
        <w:rPr>
          <w:rFonts w:asciiTheme="minorEastAsia" w:hAnsiTheme="minorEastAsia"/>
        </w:rPr>
      </w:pPr>
      <w:r>
        <w:rPr>
          <w:rFonts w:hint="eastAsia" w:asciiTheme="minorEastAsia" w:hAnsiTheme="minorEastAsia"/>
        </w:rPr>
        <w:t>1.3.3质量要求：见</w:t>
      </w:r>
      <w:r>
        <w:rPr>
          <w:rFonts w:hint="eastAsia" w:asciiTheme="minorEastAsia" w:hAnsiTheme="minorEastAsia"/>
          <w:lang w:eastAsia="zh-CN"/>
        </w:rPr>
        <w:t>响应人</w:t>
      </w:r>
      <w:r>
        <w:rPr>
          <w:rFonts w:hint="eastAsia" w:asciiTheme="minorEastAsia" w:hAnsiTheme="minorEastAsia"/>
        </w:rPr>
        <w:t>须知前附表。</w:t>
      </w:r>
    </w:p>
    <w:p>
      <w:pPr>
        <w:pStyle w:val="7"/>
        <w:spacing w:before="0" w:after="0" w:line="360" w:lineRule="auto"/>
        <w:rPr>
          <w:sz w:val="21"/>
        </w:rPr>
      </w:pPr>
      <w:r>
        <w:rPr>
          <w:rFonts w:hint="eastAsia"/>
          <w:sz w:val="21"/>
        </w:rPr>
        <w:t xml:space="preserve">1.4 </w:t>
      </w:r>
      <w:r>
        <w:rPr>
          <w:rFonts w:hint="eastAsia"/>
          <w:sz w:val="21"/>
          <w:lang w:eastAsia="zh-CN"/>
        </w:rPr>
        <w:t>响应人</w:t>
      </w:r>
      <w:r>
        <w:rPr>
          <w:rFonts w:hint="eastAsia"/>
          <w:sz w:val="21"/>
        </w:rPr>
        <w:t>资格要求</w:t>
      </w:r>
    </w:p>
    <w:p>
      <w:pPr>
        <w:spacing w:line="360" w:lineRule="auto"/>
        <w:ind w:firstLine="424" w:firstLineChars="202"/>
        <w:rPr>
          <w:rFonts w:asciiTheme="minorEastAsia" w:hAnsiTheme="minorEastAsia"/>
        </w:rPr>
      </w:pPr>
      <w:r>
        <w:rPr>
          <w:rFonts w:hint="eastAsia" w:asciiTheme="minorEastAsia" w:hAnsiTheme="minorEastAsia"/>
        </w:rPr>
        <w:t xml:space="preserve">1.4.1 </w:t>
      </w:r>
      <w:r>
        <w:rPr>
          <w:rFonts w:hint="eastAsia" w:asciiTheme="minorEastAsia" w:hAnsiTheme="minorEastAsia"/>
          <w:lang w:eastAsia="zh-CN"/>
        </w:rPr>
        <w:t>响应人</w:t>
      </w:r>
      <w:r>
        <w:rPr>
          <w:rFonts w:hint="eastAsia" w:asciiTheme="minorEastAsia" w:hAnsiTheme="minorEastAsia"/>
        </w:rPr>
        <w:t>应具备承担本项目资格要求见</w:t>
      </w:r>
      <w:r>
        <w:rPr>
          <w:rFonts w:hint="eastAsia" w:asciiTheme="minorEastAsia" w:hAnsiTheme="minorEastAsia"/>
          <w:lang w:eastAsia="zh-CN"/>
        </w:rPr>
        <w:t>响应人</w:t>
      </w:r>
      <w:r>
        <w:rPr>
          <w:rFonts w:hint="eastAsia" w:asciiTheme="minorEastAsia" w:hAnsiTheme="minorEastAsia"/>
        </w:rPr>
        <w:t>须知前附表：需要提交的相关证明材料见本章第 3.5 款的规定。</w:t>
      </w:r>
    </w:p>
    <w:p>
      <w:pPr>
        <w:spacing w:line="360" w:lineRule="auto"/>
        <w:ind w:firstLine="424" w:firstLineChars="202"/>
        <w:rPr>
          <w:rFonts w:asciiTheme="minorEastAsia" w:hAnsiTheme="minorEastAsia"/>
        </w:rPr>
      </w:pPr>
      <w:r>
        <w:rPr>
          <w:rFonts w:hint="eastAsia" w:asciiTheme="minorEastAsia" w:hAnsiTheme="minorEastAsia"/>
        </w:rPr>
        <w:t xml:space="preserve">1.4.2 </w:t>
      </w:r>
      <w:r>
        <w:rPr>
          <w:rFonts w:hint="eastAsia" w:asciiTheme="minorEastAsia" w:hAnsiTheme="minorEastAsia"/>
          <w:lang w:eastAsia="zh-CN"/>
        </w:rPr>
        <w:t>响应人</w:t>
      </w:r>
      <w:r>
        <w:rPr>
          <w:rFonts w:hint="eastAsia" w:asciiTheme="minorEastAsia" w:hAnsiTheme="minorEastAsia"/>
        </w:rPr>
        <w:t>须知前附表规定接受联合体磋商的，联合体除应符合本章第 1.4.1 项和</w:t>
      </w:r>
      <w:r>
        <w:rPr>
          <w:rFonts w:hint="eastAsia" w:asciiTheme="minorEastAsia" w:hAnsiTheme="minorEastAsia"/>
          <w:lang w:eastAsia="zh-CN"/>
        </w:rPr>
        <w:t>响应人</w:t>
      </w:r>
      <w:r>
        <w:rPr>
          <w:rFonts w:hint="eastAsia" w:asciiTheme="minorEastAsia" w:hAnsiTheme="minorEastAsia"/>
        </w:rPr>
        <w:t>须知前附表的要求外，还应遵守以下规定：</w:t>
      </w:r>
    </w:p>
    <w:p>
      <w:pPr>
        <w:spacing w:line="360" w:lineRule="auto"/>
        <w:ind w:firstLine="424" w:firstLineChars="202"/>
        <w:rPr>
          <w:rFonts w:asciiTheme="minorEastAsia" w:hAnsiTheme="minorEastAsia"/>
        </w:rPr>
      </w:pPr>
      <w:r>
        <w:rPr>
          <w:rFonts w:hint="eastAsia" w:asciiTheme="minorEastAsia" w:hAnsiTheme="minorEastAsia"/>
        </w:rPr>
        <w:t>（1）联合体各方应按竞争性磋商文件提供的格式签订联合体协议书，明确联合体牵头人和各方权利义务，并承诺就成交项目向采购人承担连带责任；</w:t>
      </w:r>
    </w:p>
    <w:p>
      <w:pPr>
        <w:spacing w:line="360" w:lineRule="auto"/>
        <w:ind w:firstLine="424" w:firstLineChars="202"/>
        <w:rPr>
          <w:rFonts w:asciiTheme="minorEastAsia" w:hAnsiTheme="minorEastAsia"/>
        </w:rPr>
      </w:pPr>
      <w:r>
        <w:rPr>
          <w:rFonts w:hint="eastAsia" w:asciiTheme="minorEastAsia" w:hAnsiTheme="minorEastAsia"/>
        </w:rPr>
        <w:t>（2）联合体中有同类资质的</w:t>
      </w:r>
      <w:r>
        <w:rPr>
          <w:rFonts w:hint="eastAsia" w:asciiTheme="minorEastAsia" w:hAnsiTheme="minorEastAsia"/>
          <w:lang w:eastAsia="zh-CN"/>
        </w:rPr>
        <w:t>响应人</w:t>
      </w:r>
      <w:r>
        <w:rPr>
          <w:rFonts w:hint="eastAsia" w:asciiTheme="minorEastAsia" w:hAnsiTheme="minorEastAsia"/>
        </w:rPr>
        <w:t>按照联合体分工承担相同工作的，应当按照资质等级较低的</w:t>
      </w:r>
      <w:r>
        <w:rPr>
          <w:rFonts w:hint="eastAsia" w:asciiTheme="minorEastAsia" w:hAnsiTheme="minorEastAsia"/>
          <w:lang w:eastAsia="zh-CN"/>
        </w:rPr>
        <w:t>响应人</w:t>
      </w:r>
      <w:r>
        <w:rPr>
          <w:rFonts w:hint="eastAsia" w:asciiTheme="minorEastAsia" w:hAnsiTheme="minorEastAsia"/>
        </w:rPr>
        <w:t>确定资质等级</w:t>
      </w:r>
    </w:p>
    <w:p>
      <w:pPr>
        <w:spacing w:line="360" w:lineRule="auto"/>
        <w:ind w:firstLine="424" w:firstLineChars="202"/>
        <w:rPr>
          <w:rFonts w:asciiTheme="minorEastAsia" w:hAnsiTheme="minorEastAsia"/>
        </w:rPr>
      </w:pPr>
      <w:r>
        <w:rPr>
          <w:rFonts w:hint="eastAsia" w:asciiTheme="minorEastAsia" w:hAnsiTheme="minorEastAsia"/>
        </w:rPr>
        <w:t>（3）联合体各方不得再单独参加或者与其他</w:t>
      </w:r>
      <w:r>
        <w:rPr>
          <w:rFonts w:hint="eastAsia" w:asciiTheme="minorEastAsia" w:hAnsiTheme="minorEastAsia"/>
          <w:lang w:eastAsia="zh-CN"/>
        </w:rPr>
        <w:t>响应人</w:t>
      </w:r>
      <w:r>
        <w:rPr>
          <w:rFonts w:hint="eastAsia" w:asciiTheme="minorEastAsia" w:hAnsiTheme="minorEastAsia"/>
        </w:rPr>
        <w:t>另外组成联合体参加同一合同项下的政府采购活动。</w:t>
      </w:r>
    </w:p>
    <w:p>
      <w:pPr>
        <w:spacing w:line="360" w:lineRule="auto"/>
        <w:ind w:firstLine="424" w:firstLineChars="202"/>
        <w:rPr>
          <w:rFonts w:asciiTheme="minorEastAsia" w:hAnsiTheme="minorEastAsia"/>
        </w:rPr>
      </w:pPr>
      <w:r>
        <w:rPr>
          <w:rFonts w:hint="eastAsia" w:asciiTheme="minorEastAsia" w:hAnsiTheme="minorEastAsia"/>
        </w:rPr>
        <w:t>1.4.3</w:t>
      </w:r>
      <w:r>
        <w:rPr>
          <w:rFonts w:hint="eastAsia" w:asciiTheme="minorEastAsia" w:hAnsiTheme="minorEastAsia"/>
          <w:lang w:eastAsia="zh-CN"/>
        </w:rPr>
        <w:t>响应人</w:t>
      </w:r>
      <w:r>
        <w:rPr>
          <w:rFonts w:hint="eastAsia" w:asciiTheme="minorEastAsia" w:hAnsiTheme="minorEastAsia"/>
        </w:rPr>
        <w:t>不得存在下列情形之一：</w:t>
      </w:r>
    </w:p>
    <w:p>
      <w:pPr>
        <w:spacing w:line="360" w:lineRule="auto"/>
        <w:ind w:firstLine="424" w:firstLineChars="202"/>
        <w:rPr>
          <w:rFonts w:asciiTheme="minorEastAsia" w:hAnsiTheme="minorEastAsia"/>
        </w:rPr>
      </w:pPr>
      <w:r>
        <w:rPr>
          <w:rFonts w:hint="eastAsia" w:asciiTheme="minorEastAsia" w:hAnsiTheme="minorEastAsia"/>
        </w:rPr>
        <w:t>（1）为采购人不具有独立法人资格的附属机构（单位）；</w:t>
      </w:r>
    </w:p>
    <w:p>
      <w:pPr>
        <w:spacing w:line="360" w:lineRule="auto"/>
        <w:ind w:firstLine="424" w:firstLineChars="202"/>
        <w:rPr>
          <w:rFonts w:asciiTheme="minorEastAsia" w:hAnsiTheme="minorEastAsia"/>
        </w:rPr>
      </w:pPr>
      <w:r>
        <w:rPr>
          <w:rFonts w:hint="eastAsia" w:asciiTheme="minorEastAsia" w:hAnsiTheme="minorEastAsia"/>
        </w:rPr>
        <w:t xml:space="preserve">（2）为本项目前期准备提供设计或咨询服务的； </w:t>
      </w:r>
    </w:p>
    <w:p>
      <w:pPr>
        <w:spacing w:line="360" w:lineRule="auto"/>
        <w:ind w:firstLine="424" w:firstLineChars="202"/>
        <w:rPr>
          <w:rFonts w:asciiTheme="minorEastAsia" w:hAnsiTheme="minorEastAsia"/>
        </w:rPr>
      </w:pPr>
      <w:r>
        <w:rPr>
          <w:rFonts w:hint="eastAsia" w:asciiTheme="minorEastAsia" w:hAnsiTheme="minorEastAsia"/>
        </w:rPr>
        <w:t>（3）为本项目的监理人；</w:t>
      </w:r>
    </w:p>
    <w:p>
      <w:pPr>
        <w:spacing w:line="360" w:lineRule="auto"/>
        <w:ind w:firstLine="424" w:firstLineChars="202"/>
        <w:rPr>
          <w:rFonts w:asciiTheme="minorEastAsia" w:hAnsiTheme="minorEastAsia"/>
        </w:rPr>
      </w:pPr>
      <w:r>
        <w:rPr>
          <w:rFonts w:hint="eastAsia" w:asciiTheme="minorEastAsia" w:hAnsiTheme="minorEastAsia"/>
        </w:rPr>
        <w:t xml:space="preserve">（4）为本项目的代建人； </w:t>
      </w:r>
    </w:p>
    <w:p>
      <w:pPr>
        <w:spacing w:line="360" w:lineRule="auto"/>
        <w:ind w:firstLine="424" w:firstLineChars="202"/>
        <w:rPr>
          <w:rFonts w:asciiTheme="minorEastAsia" w:hAnsiTheme="minorEastAsia"/>
        </w:rPr>
      </w:pPr>
      <w:r>
        <w:rPr>
          <w:rFonts w:hint="eastAsia" w:asciiTheme="minorEastAsia" w:hAnsiTheme="minorEastAsia"/>
        </w:rPr>
        <w:t xml:space="preserve">（5）为本项目提供采购代理服务的； </w:t>
      </w:r>
    </w:p>
    <w:p>
      <w:pPr>
        <w:spacing w:line="360" w:lineRule="auto"/>
        <w:ind w:firstLine="424" w:firstLineChars="202"/>
        <w:rPr>
          <w:rFonts w:asciiTheme="minorEastAsia" w:hAnsiTheme="minorEastAsia"/>
        </w:rPr>
      </w:pPr>
      <w:r>
        <w:rPr>
          <w:rFonts w:hint="eastAsia" w:asciiTheme="minorEastAsia" w:hAnsiTheme="minorEastAsia"/>
        </w:rPr>
        <w:t>（6）与本项目的监理人或代建人或采购代理机构同为一个法定代表人的；</w:t>
      </w:r>
    </w:p>
    <w:p>
      <w:pPr>
        <w:spacing w:line="360" w:lineRule="auto"/>
        <w:ind w:firstLine="424" w:firstLineChars="202"/>
        <w:rPr>
          <w:rFonts w:asciiTheme="minorEastAsia" w:hAnsiTheme="minorEastAsia"/>
        </w:rPr>
      </w:pPr>
      <w:r>
        <w:rPr>
          <w:rFonts w:hint="eastAsia" w:asciiTheme="minorEastAsia" w:hAnsiTheme="minorEastAsia"/>
        </w:rPr>
        <w:t>（7）与本项目的监理人或代建人或采购代理机构相互控股或参股的；</w:t>
      </w:r>
    </w:p>
    <w:p>
      <w:pPr>
        <w:spacing w:line="360" w:lineRule="auto"/>
        <w:ind w:firstLine="424" w:firstLineChars="202"/>
        <w:rPr>
          <w:rFonts w:asciiTheme="minorEastAsia" w:hAnsiTheme="minorEastAsia"/>
        </w:rPr>
      </w:pPr>
      <w:r>
        <w:rPr>
          <w:rFonts w:hint="eastAsia" w:asciiTheme="minorEastAsia" w:hAnsiTheme="minorEastAsia"/>
        </w:rPr>
        <w:t>（8）与本项目的监理人或代建人或采购代理机构相互任职或工作的；</w:t>
      </w:r>
    </w:p>
    <w:p>
      <w:pPr>
        <w:spacing w:line="360" w:lineRule="auto"/>
        <w:ind w:firstLine="424" w:firstLineChars="202"/>
        <w:rPr>
          <w:rFonts w:asciiTheme="minorEastAsia" w:hAnsiTheme="minorEastAsia"/>
        </w:rPr>
      </w:pPr>
      <w:r>
        <w:rPr>
          <w:rFonts w:hint="eastAsia" w:asciiTheme="minorEastAsia" w:hAnsiTheme="minorEastAsia"/>
        </w:rPr>
        <w:t xml:space="preserve">（9）被责令停业的； </w:t>
      </w:r>
    </w:p>
    <w:p>
      <w:pPr>
        <w:spacing w:line="360" w:lineRule="auto"/>
        <w:ind w:firstLine="424" w:firstLineChars="202"/>
        <w:rPr>
          <w:rFonts w:asciiTheme="minorEastAsia" w:hAnsiTheme="minorEastAsia"/>
        </w:rPr>
      </w:pPr>
      <w:r>
        <w:rPr>
          <w:rFonts w:hint="eastAsia" w:asciiTheme="minorEastAsia" w:hAnsiTheme="minorEastAsia"/>
        </w:rPr>
        <w:t xml:space="preserve">（10）被暂停或取消投标资格的； </w:t>
      </w:r>
    </w:p>
    <w:p>
      <w:pPr>
        <w:spacing w:line="360" w:lineRule="auto"/>
        <w:ind w:firstLine="424" w:firstLineChars="202"/>
        <w:rPr>
          <w:rFonts w:asciiTheme="minorEastAsia" w:hAnsiTheme="minorEastAsia"/>
        </w:rPr>
      </w:pPr>
      <w:r>
        <w:rPr>
          <w:rFonts w:hint="eastAsia" w:asciiTheme="minorEastAsia" w:hAnsiTheme="minorEastAsia"/>
        </w:rPr>
        <w:t>（11）财产被接管或冻结的；</w:t>
      </w:r>
    </w:p>
    <w:p>
      <w:pPr>
        <w:spacing w:line="360" w:lineRule="auto"/>
        <w:ind w:firstLine="424" w:firstLineChars="202"/>
        <w:rPr>
          <w:rFonts w:asciiTheme="minorEastAsia" w:hAnsiTheme="minorEastAsia"/>
        </w:rPr>
      </w:pPr>
      <w:r>
        <w:rPr>
          <w:rFonts w:hint="eastAsia" w:asciiTheme="minorEastAsia" w:hAnsiTheme="minorEastAsia"/>
        </w:rPr>
        <w:t>（12）在最近三年内有骗取成交或严重违约或重大工程质量问题的。</w:t>
      </w:r>
    </w:p>
    <w:p>
      <w:pPr>
        <w:pStyle w:val="7"/>
        <w:spacing w:before="0" w:after="0" w:line="360" w:lineRule="auto"/>
        <w:rPr>
          <w:sz w:val="21"/>
        </w:rPr>
      </w:pPr>
      <w:r>
        <w:rPr>
          <w:rFonts w:hint="eastAsia"/>
          <w:sz w:val="21"/>
        </w:rPr>
        <w:t>1.5  费用承担</w:t>
      </w:r>
    </w:p>
    <w:p>
      <w:pPr>
        <w:spacing w:line="360" w:lineRule="auto"/>
        <w:ind w:firstLine="424" w:firstLineChars="202"/>
        <w:rPr>
          <w:rFonts w:asciiTheme="minorEastAsia" w:hAnsiTheme="minorEastAsia"/>
        </w:rPr>
      </w:pPr>
      <w:r>
        <w:rPr>
          <w:rFonts w:hint="eastAsia" w:asciiTheme="minorEastAsia" w:hAnsiTheme="minorEastAsia"/>
          <w:lang w:eastAsia="zh-CN"/>
        </w:rPr>
        <w:t>响应人</w:t>
      </w:r>
      <w:r>
        <w:rPr>
          <w:rFonts w:hint="eastAsia" w:asciiTheme="minorEastAsia" w:hAnsiTheme="minorEastAsia"/>
        </w:rPr>
        <w:t>准备和参加采购活动发生的费用自理。</w:t>
      </w:r>
    </w:p>
    <w:p>
      <w:pPr>
        <w:pStyle w:val="7"/>
        <w:spacing w:before="0" w:after="0" w:line="360" w:lineRule="auto"/>
        <w:rPr>
          <w:sz w:val="21"/>
        </w:rPr>
      </w:pPr>
      <w:r>
        <w:rPr>
          <w:rFonts w:hint="eastAsia"/>
          <w:sz w:val="21"/>
        </w:rPr>
        <w:t>1.6 保密</w:t>
      </w:r>
    </w:p>
    <w:p>
      <w:pPr>
        <w:spacing w:line="360" w:lineRule="auto"/>
        <w:ind w:firstLine="424" w:firstLineChars="202"/>
        <w:rPr>
          <w:rFonts w:asciiTheme="minorEastAsia" w:hAnsiTheme="minorEastAsia"/>
        </w:rPr>
      </w:pPr>
      <w:r>
        <w:rPr>
          <w:rFonts w:hint="eastAsia" w:asciiTheme="minorEastAsia" w:hAnsiTheme="minorEastAsia"/>
        </w:rPr>
        <w:t>参与竞争性磋商活动的各方应对竞争性磋商文件和响应文件中的商业和技术等秘密保密，否则应承担相应的法律责任。</w:t>
      </w:r>
    </w:p>
    <w:p>
      <w:pPr>
        <w:pStyle w:val="7"/>
        <w:spacing w:before="0" w:after="0" w:line="360" w:lineRule="auto"/>
        <w:rPr>
          <w:sz w:val="21"/>
        </w:rPr>
      </w:pPr>
      <w:r>
        <w:rPr>
          <w:rFonts w:hint="eastAsia"/>
          <w:sz w:val="21"/>
        </w:rPr>
        <w:t>1.7  语言文字</w:t>
      </w:r>
    </w:p>
    <w:p>
      <w:pPr>
        <w:spacing w:line="360" w:lineRule="auto"/>
        <w:ind w:firstLine="424" w:firstLineChars="202"/>
        <w:rPr>
          <w:rFonts w:asciiTheme="minorEastAsia" w:hAnsiTheme="minorEastAsia"/>
        </w:rPr>
      </w:pPr>
      <w:r>
        <w:rPr>
          <w:rFonts w:hint="eastAsia" w:asciiTheme="minorEastAsia" w:hAnsiTheme="minorEastAsia"/>
        </w:rPr>
        <w:t>竞争性磋商响应文件使用的语言文字为中文。专用术语使用外文的，应附有中文注释。</w:t>
      </w:r>
    </w:p>
    <w:p>
      <w:pPr>
        <w:pStyle w:val="7"/>
        <w:spacing w:before="0" w:after="0" w:line="360" w:lineRule="auto"/>
        <w:rPr>
          <w:sz w:val="21"/>
        </w:rPr>
      </w:pPr>
      <w:r>
        <w:rPr>
          <w:rFonts w:hint="eastAsia"/>
          <w:sz w:val="21"/>
        </w:rPr>
        <w:t>1.8 计量单位</w:t>
      </w:r>
    </w:p>
    <w:p>
      <w:pPr>
        <w:spacing w:line="360" w:lineRule="auto"/>
        <w:ind w:firstLine="424" w:firstLineChars="202"/>
        <w:rPr>
          <w:rFonts w:asciiTheme="minorEastAsia" w:hAnsiTheme="minorEastAsia"/>
        </w:rPr>
      </w:pPr>
      <w:r>
        <w:rPr>
          <w:rFonts w:hint="eastAsia" w:asciiTheme="minorEastAsia" w:hAnsiTheme="minorEastAsia"/>
        </w:rPr>
        <w:t>所有计量均采用中华人民共和国法定计量单位。</w:t>
      </w:r>
    </w:p>
    <w:p>
      <w:pPr>
        <w:pStyle w:val="7"/>
        <w:spacing w:before="0" w:after="0" w:line="360" w:lineRule="auto"/>
        <w:rPr>
          <w:sz w:val="21"/>
        </w:rPr>
      </w:pPr>
      <w:r>
        <w:rPr>
          <w:rFonts w:hint="eastAsia"/>
          <w:sz w:val="21"/>
        </w:rPr>
        <w:t>1.9 潜在</w:t>
      </w:r>
      <w:r>
        <w:rPr>
          <w:rFonts w:hint="eastAsia"/>
          <w:sz w:val="21"/>
          <w:lang w:eastAsia="zh-CN"/>
        </w:rPr>
        <w:t>响应人</w:t>
      </w:r>
      <w:r>
        <w:rPr>
          <w:rFonts w:hint="eastAsia"/>
          <w:sz w:val="21"/>
        </w:rPr>
        <w:t>现场考察或者召开开标前答疑会</w:t>
      </w:r>
    </w:p>
    <w:p>
      <w:pPr>
        <w:spacing w:line="360" w:lineRule="auto"/>
        <w:ind w:firstLine="424" w:firstLineChars="202"/>
        <w:rPr>
          <w:rFonts w:asciiTheme="minorEastAsia" w:hAnsiTheme="minorEastAsia"/>
        </w:rPr>
      </w:pPr>
      <w:r>
        <w:rPr>
          <w:rFonts w:hint="eastAsia" w:asciiTheme="minorEastAsia" w:hAnsiTheme="minorEastAsia"/>
        </w:rPr>
        <w:t xml:space="preserve">1.9.1 </w:t>
      </w:r>
      <w:r>
        <w:rPr>
          <w:rFonts w:hint="eastAsia" w:asciiTheme="minorEastAsia" w:hAnsiTheme="minorEastAsia"/>
          <w:lang w:eastAsia="zh-CN"/>
        </w:rPr>
        <w:t>响应人</w:t>
      </w:r>
      <w:r>
        <w:rPr>
          <w:rFonts w:hint="eastAsia" w:asciiTheme="minorEastAsia" w:hAnsiTheme="minorEastAsia"/>
        </w:rPr>
        <w:t>须知前附表规定潜在</w:t>
      </w:r>
      <w:r>
        <w:rPr>
          <w:rFonts w:hint="eastAsia" w:asciiTheme="minorEastAsia" w:hAnsiTheme="minorEastAsia"/>
          <w:lang w:eastAsia="zh-CN"/>
        </w:rPr>
        <w:t>响应人</w:t>
      </w:r>
      <w:r>
        <w:rPr>
          <w:rFonts w:hint="eastAsia" w:asciiTheme="minorEastAsia" w:hAnsiTheme="minorEastAsia"/>
        </w:rPr>
        <w:t>现场考察或者召开开标前答疑会的，采购人或者采购代理机构在竞争性磋商文件提供期限截止后，组织已获取竞争性磋商文件的潜在</w:t>
      </w:r>
      <w:r>
        <w:rPr>
          <w:rFonts w:hint="eastAsia" w:asciiTheme="minorEastAsia" w:hAnsiTheme="minorEastAsia"/>
          <w:lang w:eastAsia="zh-CN"/>
        </w:rPr>
        <w:t>响应人</w:t>
      </w:r>
      <w:r>
        <w:rPr>
          <w:rFonts w:hint="eastAsia" w:asciiTheme="minorEastAsia" w:hAnsiTheme="minorEastAsia"/>
        </w:rPr>
        <w:t>现场考察或者召开开标前答疑会。</w:t>
      </w:r>
    </w:p>
    <w:p>
      <w:pPr>
        <w:spacing w:line="360" w:lineRule="auto"/>
        <w:ind w:firstLine="424" w:firstLineChars="202"/>
        <w:rPr>
          <w:rFonts w:asciiTheme="minorEastAsia" w:hAnsiTheme="minorEastAsia"/>
        </w:rPr>
      </w:pPr>
      <w:r>
        <w:rPr>
          <w:rFonts w:hint="eastAsia" w:asciiTheme="minorEastAsia" w:hAnsiTheme="minorEastAsia"/>
        </w:rPr>
        <w:t>1.9.2除采购人的原因外，</w:t>
      </w:r>
      <w:r>
        <w:rPr>
          <w:rFonts w:hint="eastAsia" w:asciiTheme="minorEastAsia" w:hAnsiTheme="minorEastAsia"/>
          <w:lang w:eastAsia="zh-CN"/>
        </w:rPr>
        <w:t>响应人</w:t>
      </w:r>
      <w:r>
        <w:rPr>
          <w:rFonts w:hint="eastAsia" w:asciiTheme="minorEastAsia" w:hAnsiTheme="minorEastAsia"/>
        </w:rPr>
        <w:t>自行负责在踏勘现场中所发生的人员伤亡和财产损失。</w:t>
      </w:r>
    </w:p>
    <w:p>
      <w:pPr>
        <w:spacing w:line="360" w:lineRule="auto"/>
        <w:ind w:firstLine="424" w:firstLineChars="202"/>
        <w:rPr>
          <w:rFonts w:asciiTheme="minorEastAsia" w:hAnsiTheme="minorEastAsia"/>
        </w:rPr>
      </w:pPr>
      <w:r>
        <w:rPr>
          <w:rFonts w:hint="eastAsia" w:asciiTheme="minorEastAsia" w:hAnsiTheme="minorEastAsia"/>
        </w:rPr>
        <w:t>1.9.3采购人在踏勘现场中介绍的工程场地和相关的周边环境情况，供</w:t>
      </w:r>
      <w:r>
        <w:rPr>
          <w:rFonts w:hint="eastAsia" w:asciiTheme="minorEastAsia" w:hAnsiTheme="minorEastAsia"/>
          <w:lang w:eastAsia="zh-CN"/>
        </w:rPr>
        <w:t>响应人</w:t>
      </w:r>
      <w:r>
        <w:rPr>
          <w:rFonts w:hint="eastAsia" w:asciiTheme="minorEastAsia" w:hAnsiTheme="minorEastAsia"/>
        </w:rPr>
        <w:t>在编制响应文件时参考，招标人不对</w:t>
      </w:r>
      <w:r>
        <w:rPr>
          <w:rFonts w:hint="eastAsia" w:asciiTheme="minorEastAsia" w:hAnsiTheme="minorEastAsia"/>
          <w:lang w:eastAsia="zh-CN"/>
        </w:rPr>
        <w:t>响应人</w:t>
      </w:r>
      <w:r>
        <w:rPr>
          <w:rFonts w:hint="eastAsia" w:asciiTheme="minorEastAsia" w:hAnsiTheme="minorEastAsia"/>
        </w:rPr>
        <w:t>据此作出的判断和决策负责。</w:t>
      </w:r>
    </w:p>
    <w:p>
      <w:pPr>
        <w:pStyle w:val="7"/>
        <w:spacing w:before="0" w:after="0" w:line="360" w:lineRule="auto"/>
        <w:rPr>
          <w:sz w:val="21"/>
        </w:rPr>
      </w:pPr>
      <w:r>
        <w:rPr>
          <w:rFonts w:hint="eastAsia"/>
          <w:sz w:val="21"/>
        </w:rPr>
        <w:t>1.10 分包</w:t>
      </w:r>
    </w:p>
    <w:p>
      <w:pPr>
        <w:spacing w:line="360" w:lineRule="auto"/>
        <w:ind w:firstLine="424" w:firstLineChars="202"/>
        <w:rPr>
          <w:rFonts w:asciiTheme="minorEastAsia" w:hAnsiTheme="minorEastAsia"/>
        </w:rPr>
      </w:pPr>
      <w:r>
        <w:rPr>
          <w:rFonts w:hint="eastAsia" w:asciiTheme="minorEastAsia" w:hAnsiTheme="minorEastAsia"/>
        </w:rPr>
        <w:t>1.10.1</w:t>
      </w:r>
      <w:r>
        <w:rPr>
          <w:rFonts w:hint="eastAsia" w:asciiTheme="minorEastAsia" w:hAnsiTheme="minorEastAsia"/>
          <w:lang w:eastAsia="zh-CN"/>
        </w:rPr>
        <w:t>响应人</w:t>
      </w:r>
      <w:r>
        <w:rPr>
          <w:rFonts w:hint="eastAsia" w:asciiTheme="minorEastAsia" w:hAnsiTheme="minorEastAsia"/>
        </w:rPr>
        <w:t>根据竞争性磋商文件的规定和采购项目的实际情况，拟在成交后将成交项目的非主体、非关键性工作分包的，应当在响应文件中载明分包承担主体，分包承担主体应当具备相应资质条件且不得再次分包及对分包项目承担责任。</w:t>
      </w:r>
    </w:p>
    <w:p>
      <w:pPr>
        <w:pStyle w:val="7"/>
        <w:spacing w:before="0" w:after="0" w:line="360" w:lineRule="auto"/>
        <w:rPr>
          <w:sz w:val="21"/>
        </w:rPr>
      </w:pPr>
      <w:r>
        <w:rPr>
          <w:rFonts w:hint="eastAsia"/>
          <w:sz w:val="21"/>
        </w:rPr>
        <w:t>1.11 偏离</w:t>
      </w:r>
    </w:p>
    <w:p>
      <w:pPr>
        <w:spacing w:line="360" w:lineRule="auto"/>
        <w:ind w:firstLine="424" w:firstLineChars="202"/>
        <w:rPr>
          <w:rFonts w:asciiTheme="minorEastAsia" w:hAnsiTheme="minorEastAsia"/>
        </w:rPr>
      </w:pPr>
      <w:r>
        <w:rPr>
          <w:rFonts w:hint="eastAsia"/>
          <w:lang w:eastAsia="zh-CN"/>
        </w:rPr>
        <w:t>响应人</w:t>
      </w:r>
      <w:r>
        <w:rPr>
          <w:rFonts w:hint="eastAsia"/>
        </w:rPr>
        <w:t>须知前附表允许响应文件偏离磋商文件某些要求的，偏离应当符合磋商文件规定的偏离范围和幅度。</w:t>
      </w:r>
    </w:p>
    <w:p>
      <w:pPr>
        <w:pStyle w:val="6"/>
        <w:spacing w:before="0" w:after="0" w:line="360" w:lineRule="auto"/>
        <w:rPr>
          <w:sz w:val="24"/>
        </w:rPr>
      </w:pPr>
      <w:bookmarkStart w:id="5" w:name="_Toc43371476"/>
      <w:r>
        <w:rPr>
          <w:rFonts w:hint="eastAsia"/>
          <w:sz w:val="24"/>
        </w:rPr>
        <w:t>2.  竞争性磋商文件</w:t>
      </w:r>
      <w:bookmarkEnd w:id="5"/>
    </w:p>
    <w:p>
      <w:pPr>
        <w:pStyle w:val="7"/>
        <w:spacing w:before="0" w:after="0" w:line="360" w:lineRule="auto"/>
        <w:rPr>
          <w:sz w:val="21"/>
        </w:rPr>
      </w:pPr>
      <w:r>
        <w:rPr>
          <w:rFonts w:hint="eastAsia"/>
          <w:sz w:val="21"/>
        </w:rPr>
        <w:t>2.1  竞争性磋商文件的组成</w:t>
      </w:r>
    </w:p>
    <w:p>
      <w:pPr>
        <w:tabs>
          <w:tab w:val="left" w:pos="266"/>
        </w:tabs>
        <w:spacing w:line="360" w:lineRule="auto"/>
        <w:ind w:firstLine="424" w:firstLineChars="202"/>
        <w:rPr>
          <w:rFonts w:asciiTheme="minorEastAsia" w:hAnsiTheme="minorEastAsia"/>
        </w:rPr>
      </w:pPr>
      <w:r>
        <w:rPr>
          <w:rFonts w:hint="eastAsia" w:asciiTheme="minorEastAsia" w:hAnsiTheme="minorEastAsia"/>
        </w:rPr>
        <w:t>本竞争性磋商文件包括：</w:t>
      </w:r>
    </w:p>
    <w:p>
      <w:pPr>
        <w:tabs>
          <w:tab w:val="left" w:pos="266"/>
        </w:tabs>
        <w:spacing w:line="360" w:lineRule="auto"/>
        <w:ind w:firstLine="424" w:firstLineChars="202"/>
        <w:rPr>
          <w:rFonts w:asciiTheme="minorEastAsia" w:hAnsiTheme="minorEastAsia"/>
        </w:rPr>
      </w:pPr>
      <w:r>
        <w:rPr>
          <w:rFonts w:hint="eastAsia" w:asciiTheme="minorEastAsia" w:hAnsiTheme="minorEastAsia"/>
        </w:rPr>
        <w:t>（1）竞争性磋商公告；</w:t>
      </w:r>
    </w:p>
    <w:p>
      <w:pPr>
        <w:tabs>
          <w:tab w:val="left" w:pos="266"/>
        </w:tabs>
        <w:spacing w:line="360" w:lineRule="auto"/>
        <w:ind w:firstLine="424" w:firstLineChars="202"/>
        <w:rPr>
          <w:rFonts w:asciiTheme="minorEastAsia" w:hAnsiTheme="minorEastAsia"/>
        </w:rPr>
      </w:pPr>
      <w:r>
        <w:rPr>
          <w:rFonts w:hint="eastAsia" w:asciiTheme="minorEastAsia" w:hAnsiTheme="minorEastAsia"/>
        </w:rPr>
        <w:t>（2）</w:t>
      </w:r>
      <w:r>
        <w:rPr>
          <w:rFonts w:hint="eastAsia" w:asciiTheme="minorEastAsia" w:hAnsiTheme="minorEastAsia"/>
          <w:lang w:eastAsia="zh-CN"/>
        </w:rPr>
        <w:t>响应人</w:t>
      </w:r>
      <w:r>
        <w:rPr>
          <w:rFonts w:hint="eastAsia" w:asciiTheme="minorEastAsia" w:hAnsiTheme="minorEastAsia"/>
        </w:rPr>
        <w:t>须知；</w:t>
      </w:r>
    </w:p>
    <w:p>
      <w:pPr>
        <w:tabs>
          <w:tab w:val="left" w:pos="266"/>
        </w:tabs>
        <w:spacing w:line="360" w:lineRule="auto"/>
        <w:ind w:firstLine="424" w:firstLineChars="202"/>
        <w:rPr>
          <w:rFonts w:asciiTheme="minorEastAsia" w:hAnsiTheme="minorEastAsia"/>
        </w:rPr>
      </w:pPr>
      <w:r>
        <w:rPr>
          <w:rFonts w:hint="eastAsia" w:asciiTheme="minorEastAsia" w:hAnsiTheme="minorEastAsia"/>
        </w:rPr>
        <w:t>（3）评标办法；</w:t>
      </w:r>
    </w:p>
    <w:p>
      <w:pPr>
        <w:tabs>
          <w:tab w:val="left" w:pos="266"/>
        </w:tabs>
        <w:spacing w:line="360" w:lineRule="auto"/>
        <w:ind w:firstLine="424" w:firstLineChars="202"/>
        <w:rPr>
          <w:rFonts w:asciiTheme="minorEastAsia" w:hAnsiTheme="minorEastAsia"/>
        </w:rPr>
      </w:pPr>
      <w:r>
        <w:rPr>
          <w:rFonts w:hint="eastAsia" w:asciiTheme="minorEastAsia" w:hAnsiTheme="minorEastAsia"/>
        </w:rPr>
        <w:t>（4）合同条款及格式；</w:t>
      </w:r>
    </w:p>
    <w:p>
      <w:pPr>
        <w:tabs>
          <w:tab w:val="left" w:pos="266"/>
        </w:tabs>
        <w:spacing w:line="360" w:lineRule="auto"/>
        <w:ind w:firstLine="424" w:firstLineChars="202"/>
        <w:rPr>
          <w:rFonts w:asciiTheme="minorEastAsia" w:hAnsiTheme="minorEastAsia"/>
        </w:rPr>
      </w:pPr>
      <w:r>
        <w:rPr>
          <w:rFonts w:hint="eastAsia" w:asciiTheme="minorEastAsia" w:hAnsiTheme="minorEastAsia"/>
        </w:rPr>
        <w:t>（5）工程量清单；</w:t>
      </w:r>
    </w:p>
    <w:p>
      <w:pPr>
        <w:tabs>
          <w:tab w:val="left" w:pos="266"/>
        </w:tabs>
        <w:spacing w:line="360" w:lineRule="auto"/>
        <w:ind w:firstLine="424" w:firstLineChars="202"/>
        <w:rPr>
          <w:rFonts w:asciiTheme="minorEastAsia" w:hAnsiTheme="minorEastAsia"/>
        </w:rPr>
      </w:pPr>
      <w:r>
        <w:rPr>
          <w:rFonts w:hint="eastAsia" w:asciiTheme="minorEastAsia" w:hAnsiTheme="minorEastAsia"/>
        </w:rPr>
        <w:t>（6）图纸；</w:t>
      </w:r>
    </w:p>
    <w:p>
      <w:pPr>
        <w:tabs>
          <w:tab w:val="left" w:pos="266"/>
        </w:tabs>
        <w:spacing w:line="360" w:lineRule="auto"/>
        <w:ind w:firstLine="424" w:firstLineChars="202"/>
        <w:rPr>
          <w:rFonts w:asciiTheme="minorEastAsia" w:hAnsiTheme="minorEastAsia"/>
        </w:rPr>
      </w:pPr>
      <w:r>
        <w:rPr>
          <w:rFonts w:hint="eastAsia" w:asciiTheme="minorEastAsia" w:hAnsiTheme="minorEastAsia"/>
        </w:rPr>
        <w:t>（7）技术标准和要求；</w:t>
      </w:r>
    </w:p>
    <w:p>
      <w:pPr>
        <w:tabs>
          <w:tab w:val="left" w:pos="266"/>
        </w:tabs>
        <w:spacing w:line="360" w:lineRule="auto"/>
        <w:ind w:firstLine="424" w:firstLineChars="202"/>
      </w:pPr>
      <w:r>
        <w:rPr>
          <w:rFonts w:hint="eastAsia" w:asciiTheme="minorEastAsia" w:hAnsiTheme="minorEastAsia"/>
        </w:rPr>
        <w:t>（8）</w:t>
      </w:r>
      <w:r>
        <w:rPr>
          <w:rFonts w:hint="eastAsia"/>
        </w:rPr>
        <w:t>响应文件格式；</w:t>
      </w:r>
    </w:p>
    <w:p>
      <w:pPr>
        <w:tabs>
          <w:tab w:val="left" w:pos="266"/>
        </w:tabs>
        <w:spacing w:line="360" w:lineRule="auto"/>
        <w:ind w:firstLine="424" w:firstLineChars="202"/>
        <w:rPr>
          <w:rFonts w:asciiTheme="minorEastAsia" w:hAnsiTheme="minorEastAsia"/>
        </w:rPr>
      </w:pPr>
      <w:r>
        <w:rPr>
          <w:rFonts w:hint="eastAsia" w:asciiTheme="minorEastAsia" w:hAnsiTheme="minorEastAsia"/>
        </w:rPr>
        <w:t>（9）</w:t>
      </w:r>
      <w:r>
        <w:rPr>
          <w:rFonts w:hint="eastAsia" w:asciiTheme="minorEastAsia" w:hAnsiTheme="minorEastAsia"/>
          <w:lang w:eastAsia="zh-CN"/>
        </w:rPr>
        <w:t>响应人</w:t>
      </w:r>
      <w:r>
        <w:rPr>
          <w:rFonts w:hint="eastAsia" w:asciiTheme="minorEastAsia" w:hAnsiTheme="minorEastAsia"/>
        </w:rPr>
        <w:t>须知前附表规定的其他材料。</w:t>
      </w:r>
    </w:p>
    <w:p>
      <w:pPr>
        <w:tabs>
          <w:tab w:val="left" w:pos="266"/>
        </w:tabs>
        <w:spacing w:line="360" w:lineRule="auto"/>
        <w:ind w:firstLine="424" w:firstLineChars="202"/>
        <w:rPr>
          <w:rFonts w:asciiTheme="minorEastAsia" w:hAnsiTheme="minorEastAsia"/>
        </w:rPr>
      </w:pPr>
      <w:r>
        <w:rPr>
          <w:rFonts w:hint="eastAsia" w:asciiTheme="minorEastAsia" w:hAnsiTheme="minorEastAsia"/>
        </w:rPr>
        <w:t>根据本章第 1.9 款、第 2.2 款和第 2.3 款对竞争性磋商文件所作的澄清、修改，构成竞争性磋商文件的组成部分。</w:t>
      </w:r>
    </w:p>
    <w:p>
      <w:pPr>
        <w:pStyle w:val="7"/>
        <w:spacing w:before="0" w:after="0" w:line="360" w:lineRule="auto"/>
        <w:rPr>
          <w:sz w:val="21"/>
        </w:rPr>
      </w:pPr>
      <w:r>
        <w:rPr>
          <w:rFonts w:hint="eastAsia"/>
          <w:sz w:val="21"/>
        </w:rPr>
        <w:t>2.2  竞争性磋商文件的澄清</w:t>
      </w:r>
    </w:p>
    <w:p>
      <w:pPr>
        <w:spacing w:line="360" w:lineRule="auto"/>
        <w:ind w:firstLine="424" w:firstLineChars="202"/>
        <w:rPr>
          <w:rFonts w:asciiTheme="minorEastAsia" w:hAnsiTheme="minorEastAsia"/>
        </w:rPr>
      </w:pPr>
      <w:r>
        <w:rPr>
          <w:rFonts w:hint="eastAsia" w:asciiTheme="minorEastAsia" w:hAnsiTheme="minorEastAsia"/>
        </w:rPr>
        <w:t xml:space="preserve">2.2.1 </w:t>
      </w:r>
      <w:r>
        <w:rPr>
          <w:rFonts w:hint="eastAsia" w:asciiTheme="minorEastAsia" w:hAnsiTheme="minorEastAsia"/>
          <w:lang w:eastAsia="zh-CN"/>
        </w:rPr>
        <w:t>响应人</w:t>
      </w:r>
      <w:r>
        <w:rPr>
          <w:rFonts w:hint="eastAsia" w:asciiTheme="minorEastAsia" w:hAnsiTheme="minorEastAsia"/>
        </w:rPr>
        <w:t>应仔细阅读和检查竞争性磋商文件的全部内容。如发现缺页或附件不全，应及时向采购人提出，以便补齐。如有疑问，应按</w:t>
      </w:r>
      <w:r>
        <w:rPr>
          <w:rFonts w:hint="eastAsia" w:asciiTheme="minorEastAsia" w:hAnsiTheme="minorEastAsia"/>
          <w:lang w:eastAsia="zh-CN"/>
        </w:rPr>
        <w:t>响应人</w:t>
      </w:r>
      <w:r>
        <w:rPr>
          <w:rFonts w:hint="eastAsia" w:asciiTheme="minorEastAsia" w:hAnsiTheme="minorEastAsia"/>
        </w:rPr>
        <w:t>须知前附表规定的时间和形式将提出的问题送达采购人，要求采购人对竞争性磋商文件予以澄清。</w:t>
      </w:r>
    </w:p>
    <w:p>
      <w:pPr>
        <w:spacing w:line="360" w:lineRule="auto"/>
        <w:ind w:firstLine="424" w:firstLineChars="202"/>
        <w:rPr>
          <w:rFonts w:asciiTheme="minorEastAsia" w:hAnsiTheme="minorEastAsia"/>
        </w:rPr>
      </w:pPr>
      <w:r>
        <w:rPr>
          <w:rFonts w:hint="eastAsia" w:asciiTheme="minorEastAsia" w:hAnsiTheme="minorEastAsia"/>
        </w:rPr>
        <w:t>2.2.2 竞争性磋商文件的澄清以</w:t>
      </w:r>
      <w:r>
        <w:rPr>
          <w:rFonts w:hint="eastAsia" w:asciiTheme="minorEastAsia" w:hAnsiTheme="minorEastAsia"/>
          <w:lang w:eastAsia="zh-CN"/>
        </w:rPr>
        <w:t>响应人</w:t>
      </w:r>
      <w:r>
        <w:rPr>
          <w:rFonts w:hint="eastAsia" w:asciiTheme="minorEastAsia" w:hAnsiTheme="minorEastAsia"/>
        </w:rPr>
        <w:t>须知前附表规定的形式发给所有领取竞争性磋商文件的</w:t>
      </w:r>
      <w:r>
        <w:rPr>
          <w:rFonts w:hint="eastAsia" w:asciiTheme="minorEastAsia" w:hAnsiTheme="minorEastAsia"/>
          <w:lang w:eastAsia="zh-CN"/>
        </w:rPr>
        <w:t>响应人</w:t>
      </w:r>
      <w:r>
        <w:rPr>
          <w:rFonts w:hint="eastAsia" w:asciiTheme="minorEastAsia" w:hAnsiTheme="minorEastAsia"/>
        </w:rPr>
        <w:t>，但不指明澄清问题的来源。澄清发出的时间距本章第 4.2.1 项规定的提交响应文件截止时间不足 5日的，并且澄清内容可能影响响应文件编制的，将相应延长提交响应文件截止时间。</w:t>
      </w:r>
    </w:p>
    <w:p>
      <w:pPr>
        <w:spacing w:line="360" w:lineRule="auto"/>
        <w:ind w:firstLine="424" w:firstLineChars="202"/>
        <w:rPr>
          <w:rFonts w:asciiTheme="minorEastAsia" w:hAnsiTheme="minorEastAsia"/>
        </w:rPr>
      </w:pPr>
      <w:r>
        <w:rPr>
          <w:rFonts w:hint="eastAsia" w:asciiTheme="minorEastAsia" w:hAnsiTheme="minorEastAsia"/>
        </w:rPr>
        <w:t xml:space="preserve">2.2.3 </w:t>
      </w:r>
      <w:r>
        <w:rPr>
          <w:rFonts w:hint="eastAsia" w:asciiTheme="minorEastAsia" w:hAnsiTheme="minorEastAsia"/>
          <w:lang w:eastAsia="zh-CN"/>
        </w:rPr>
        <w:t>响应人</w:t>
      </w:r>
      <w:r>
        <w:rPr>
          <w:rFonts w:hint="eastAsia" w:asciiTheme="minorEastAsia" w:hAnsiTheme="minorEastAsia"/>
        </w:rPr>
        <w:t>在收到澄清后，应按</w:t>
      </w:r>
      <w:r>
        <w:rPr>
          <w:rFonts w:hint="eastAsia" w:asciiTheme="minorEastAsia" w:hAnsiTheme="minorEastAsia"/>
          <w:lang w:eastAsia="zh-CN"/>
        </w:rPr>
        <w:t>响应人</w:t>
      </w:r>
      <w:r>
        <w:rPr>
          <w:rFonts w:hint="eastAsia" w:asciiTheme="minorEastAsia" w:hAnsiTheme="minorEastAsia"/>
        </w:rPr>
        <w:t>须知前附表规定的时间和形式通知采购人，确认已收到该澄清。</w:t>
      </w:r>
    </w:p>
    <w:p>
      <w:pPr>
        <w:spacing w:line="360" w:lineRule="auto"/>
        <w:ind w:firstLine="424" w:firstLineChars="202"/>
        <w:rPr>
          <w:rFonts w:asciiTheme="minorEastAsia" w:hAnsiTheme="minorEastAsia"/>
        </w:rPr>
      </w:pPr>
      <w:r>
        <w:rPr>
          <w:rFonts w:hint="eastAsia" w:asciiTheme="minorEastAsia" w:hAnsiTheme="minorEastAsia"/>
        </w:rPr>
        <w:t>2.2.4 除非采购人认为确有必要答复，否则，采购人有权拒绝回复</w:t>
      </w:r>
      <w:r>
        <w:rPr>
          <w:rFonts w:hint="eastAsia" w:asciiTheme="minorEastAsia" w:hAnsiTheme="minorEastAsia"/>
          <w:lang w:eastAsia="zh-CN"/>
        </w:rPr>
        <w:t>响应人</w:t>
      </w:r>
      <w:r>
        <w:rPr>
          <w:rFonts w:hint="eastAsia" w:asciiTheme="minorEastAsia" w:hAnsiTheme="minorEastAsia"/>
        </w:rPr>
        <w:t>在本章第 2.2.1 项 规定的时间后的任何澄清要求。</w:t>
      </w:r>
    </w:p>
    <w:p>
      <w:pPr>
        <w:pStyle w:val="7"/>
        <w:spacing w:before="0" w:after="0" w:line="360" w:lineRule="auto"/>
        <w:rPr>
          <w:sz w:val="21"/>
        </w:rPr>
      </w:pPr>
      <w:r>
        <w:rPr>
          <w:rFonts w:hint="eastAsia"/>
          <w:sz w:val="21"/>
        </w:rPr>
        <w:t>2.3  竞争性磋商文件的修改</w:t>
      </w:r>
    </w:p>
    <w:p>
      <w:pPr>
        <w:spacing w:line="360" w:lineRule="auto"/>
        <w:ind w:firstLine="424" w:firstLineChars="202"/>
        <w:rPr>
          <w:rFonts w:asciiTheme="minorEastAsia" w:hAnsiTheme="minorEastAsia"/>
        </w:rPr>
      </w:pPr>
      <w:r>
        <w:rPr>
          <w:rFonts w:hint="eastAsia" w:asciiTheme="minorEastAsia" w:hAnsiTheme="minorEastAsia"/>
        </w:rPr>
        <w:t>2.3.1  采购人以</w:t>
      </w:r>
      <w:r>
        <w:rPr>
          <w:rFonts w:hint="eastAsia" w:asciiTheme="minorEastAsia" w:hAnsiTheme="minorEastAsia"/>
          <w:lang w:eastAsia="zh-CN"/>
        </w:rPr>
        <w:t>响应人</w:t>
      </w:r>
      <w:r>
        <w:rPr>
          <w:rFonts w:hint="eastAsia" w:asciiTheme="minorEastAsia" w:hAnsiTheme="minorEastAsia"/>
        </w:rPr>
        <w:t>须知前附表规定的形式修改竞争性磋商文件，并通知所有已领取竞争性磋商文件的</w:t>
      </w:r>
      <w:r>
        <w:rPr>
          <w:rFonts w:hint="eastAsia" w:asciiTheme="minorEastAsia" w:hAnsiTheme="minorEastAsia"/>
          <w:lang w:eastAsia="zh-CN"/>
        </w:rPr>
        <w:t>响应人</w:t>
      </w:r>
      <w:r>
        <w:rPr>
          <w:rFonts w:hint="eastAsia" w:asciiTheme="minorEastAsia" w:hAnsiTheme="minorEastAsia"/>
        </w:rPr>
        <w:t>。修改竞争性磋商文件的时间距本章第 4.2.1 项规定的响应文件截止时间不足5日的，并且修改内容可能影响响应文件编制的，将相应延长响应文件截止时间。</w:t>
      </w:r>
    </w:p>
    <w:p>
      <w:pPr>
        <w:spacing w:line="360" w:lineRule="auto"/>
        <w:ind w:firstLine="424" w:firstLineChars="202"/>
        <w:rPr>
          <w:rFonts w:asciiTheme="minorEastAsia" w:hAnsiTheme="minorEastAsia"/>
        </w:rPr>
      </w:pPr>
      <w:r>
        <w:rPr>
          <w:rFonts w:hint="eastAsia" w:asciiTheme="minorEastAsia" w:hAnsiTheme="minorEastAsia"/>
        </w:rPr>
        <w:t xml:space="preserve">2.3.2 </w:t>
      </w:r>
      <w:r>
        <w:rPr>
          <w:rFonts w:hint="eastAsia" w:asciiTheme="minorEastAsia" w:hAnsiTheme="minorEastAsia"/>
          <w:lang w:eastAsia="zh-CN"/>
        </w:rPr>
        <w:t>响应人</w:t>
      </w:r>
      <w:r>
        <w:rPr>
          <w:rFonts w:hint="eastAsia" w:asciiTheme="minorEastAsia" w:hAnsiTheme="minorEastAsia"/>
        </w:rPr>
        <w:t>收到修改内容后，应按</w:t>
      </w:r>
      <w:r>
        <w:rPr>
          <w:rFonts w:hint="eastAsia" w:asciiTheme="minorEastAsia" w:hAnsiTheme="minorEastAsia"/>
          <w:lang w:eastAsia="zh-CN"/>
        </w:rPr>
        <w:t>响应人</w:t>
      </w:r>
      <w:r>
        <w:rPr>
          <w:rFonts w:hint="eastAsia" w:asciiTheme="minorEastAsia" w:hAnsiTheme="minorEastAsia"/>
        </w:rPr>
        <w:t>须知前附表规定的时间和形式通知采购人，确认 已收到该修改。</w:t>
      </w:r>
    </w:p>
    <w:p>
      <w:pPr>
        <w:pStyle w:val="7"/>
        <w:spacing w:before="0" w:after="0" w:line="360" w:lineRule="auto"/>
        <w:rPr>
          <w:sz w:val="21"/>
        </w:rPr>
      </w:pPr>
      <w:r>
        <w:rPr>
          <w:rFonts w:hint="eastAsia"/>
          <w:sz w:val="21"/>
        </w:rPr>
        <w:t>2.4  竞争性磋商文件的异议</w:t>
      </w:r>
    </w:p>
    <w:p>
      <w:pPr>
        <w:spacing w:line="360" w:lineRule="auto"/>
        <w:ind w:firstLine="424" w:firstLineChars="202"/>
        <w:rPr>
          <w:rFonts w:asciiTheme="minorEastAsia" w:hAnsiTheme="minorEastAsia"/>
        </w:rPr>
      </w:pPr>
      <w:r>
        <w:rPr>
          <w:rFonts w:hint="eastAsia" w:asciiTheme="minorEastAsia" w:hAnsiTheme="minorEastAsia"/>
          <w:lang w:eastAsia="zh-CN"/>
        </w:rPr>
        <w:t>响应人</w:t>
      </w:r>
      <w:r>
        <w:rPr>
          <w:rFonts w:hint="eastAsia" w:asciiTheme="minorEastAsia" w:hAnsiTheme="minorEastAsia"/>
        </w:rPr>
        <w:t>或者其他利害关系人对竞争性磋商文件有异议的，应当在收到竞争性磋商文件之日或者竞争性磋商文件公告期限届满之日起七个工作日内，以书面形式（不接受邮寄、电报、电传、传真、电子数据交换和电子邮件）向采购代理机构提出质疑。采购人或采购代理机构在收到</w:t>
      </w:r>
      <w:r>
        <w:rPr>
          <w:rFonts w:hint="eastAsia" w:asciiTheme="minorEastAsia" w:hAnsiTheme="minorEastAsia"/>
          <w:lang w:eastAsia="zh-CN"/>
        </w:rPr>
        <w:t>响应人</w:t>
      </w:r>
      <w:r>
        <w:rPr>
          <w:rFonts w:hint="eastAsia" w:asciiTheme="minorEastAsia" w:hAnsiTheme="minorEastAsia"/>
        </w:rPr>
        <w:t>的书面质疑后七个工作日内作出答复，并以书面形式通知质疑</w:t>
      </w:r>
      <w:r>
        <w:rPr>
          <w:rFonts w:hint="eastAsia" w:asciiTheme="minorEastAsia" w:hAnsiTheme="minorEastAsia"/>
          <w:lang w:eastAsia="zh-CN"/>
        </w:rPr>
        <w:t>响应人</w:t>
      </w:r>
      <w:r>
        <w:rPr>
          <w:rFonts w:hint="eastAsia" w:asciiTheme="minorEastAsia" w:hAnsiTheme="minorEastAsia"/>
        </w:rPr>
        <w:t>和其他有关</w:t>
      </w:r>
      <w:r>
        <w:rPr>
          <w:rFonts w:hint="eastAsia" w:asciiTheme="minorEastAsia" w:hAnsiTheme="minorEastAsia"/>
          <w:lang w:eastAsia="zh-CN"/>
        </w:rPr>
        <w:t>响应人</w:t>
      </w:r>
      <w:r>
        <w:rPr>
          <w:rFonts w:hint="eastAsia" w:asciiTheme="minorEastAsia" w:hAnsiTheme="minorEastAsia"/>
        </w:rPr>
        <w:t>，答复内容不涉及商业秘密。</w:t>
      </w:r>
    </w:p>
    <w:p>
      <w:pPr>
        <w:pStyle w:val="6"/>
        <w:spacing w:before="0" w:after="0" w:line="360" w:lineRule="auto"/>
        <w:rPr>
          <w:sz w:val="24"/>
        </w:rPr>
      </w:pPr>
      <w:bookmarkStart w:id="6" w:name="_Toc43371477"/>
      <w:r>
        <w:rPr>
          <w:rFonts w:hint="eastAsia"/>
          <w:sz w:val="24"/>
        </w:rPr>
        <w:t>3.  响应文件</w:t>
      </w:r>
      <w:bookmarkEnd w:id="6"/>
    </w:p>
    <w:p>
      <w:pPr>
        <w:pStyle w:val="7"/>
        <w:spacing w:before="0" w:after="0" w:line="360" w:lineRule="auto"/>
        <w:rPr>
          <w:sz w:val="21"/>
          <w:szCs w:val="21"/>
        </w:rPr>
      </w:pPr>
      <w:r>
        <w:rPr>
          <w:rFonts w:hint="eastAsia"/>
          <w:sz w:val="21"/>
          <w:szCs w:val="21"/>
        </w:rPr>
        <w:t>3.1  响应文件的组成</w:t>
      </w:r>
    </w:p>
    <w:p>
      <w:pPr>
        <w:spacing w:line="360" w:lineRule="auto"/>
        <w:ind w:firstLine="424" w:firstLineChars="202"/>
        <w:rPr>
          <w:rFonts w:asciiTheme="minorEastAsia" w:hAnsiTheme="minorEastAsia"/>
        </w:rPr>
      </w:pPr>
      <w:r>
        <w:rPr>
          <w:rFonts w:hint="eastAsia" w:asciiTheme="minorEastAsia" w:hAnsiTheme="minorEastAsia"/>
        </w:rPr>
        <w:t>3.1.1 响应文件应包括下列内容：</w:t>
      </w:r>
    </w:p>
    <w:p>
      <w:pPr>
        <w:spacing w:line="400" w:lineRule="exact"/>
        <w:ind w:firstLine="359" w:firstLineChars="171"/>
        <w:rPr>
          <w:rFonts w:asciiTheme="minorEastAsia" w:hAnsiTheme="minorEastAsia"/>
        </w:rPr>
      </w:pPr>
      <w:r>
        <w:rPr>
          <w:rFonts w:hint="eastAsia" w:asciiTheme="minorEastAsia" w:hAnsiTheme="minorEastAsia"/>
        </w:rPr>
        <w:t>（1）磋商函及磋商函附录；</w:t>
      </w:r>
    </w:p>
    <w:p>
      <w:pPr>
        <w:spacing w:line="400" w:lineRule="exact"/>
        <w:ind w:firstLine="359" w:firstLineChars="171"/>
        <w:rPr>
          <w:rFonts w:asciiTheme="minorEastAsia" w:hAnsiTheme="minorEastAsia"/>
        </w:rPr>
      </w:pPr>
      <w:r>
        <w:rPr>
          <w:rFonts w:hint="eastAsia" w:asciiTheme="minorEastAsia" w:hAnsiTheme="minorEastAsia"/>
        </w:rPr>
        <w:t>（2）法定代表人身份证明或附有法定代表人身份证明的授权委托书；</w:t>
      </w:r>
    </w:p>
    <w:p>
      <w:pPr>
        <w:spacing w:line="400" w:lineRule="exact"/>
        <w:ind w:firstLine="359" w:firstLineChars="171"/>
        <w:rPr>
          <w:rFonts w:asciiTheme="minorEastAsia" w:hAnsiTheme="minorEastAsia"/>
        </w:rPr>
      </w:pPr>
      <w:r>
        <w:rPr>
          <w:rFonts w:hint="eastAsia" w:asciiTheme="minorEastAsia" w:hAnsiTheme="minorEastAsia"/>
        </w:rPr>
        <w:t>（3）磋商承诺函；</w:t>
      </w:r>
    </w:p>
    <w:p>
      <w:pPr>
        <w:spacing w:line="400" w:lineRule="exact"/>
        <w:ind w:firstLine="359" w:firstLineChars="171"/>
        <w:rPr>
          <w:rFonts w:asciiTheme="minorEastAsia" w:hAnsiTheme="minorEastAsia"/>
        </w:rPr>
      </w:pPr>
      <w:r>
        <w:rPr>
          <w:rFonts w:hint="eastAsia" w:asciiTheme="minorEastAsia" w:hAnsiTheme="minorEastAsia"/>
        </w:rPr>
        <w:t>（4）已标价工程量清单；</w:t>
      </w:r>
    </w:p>
    <w:p>
      <w:pPr>
        <w:spacing w:line="400" w:lineRule="exact"/>
        <w:ind w:firstLine="359" w:firstLineChars="171"/>
        <w:rPr>
          <w:rFonts w:asciiTheme="minorEastAsia" w:hAnsiTheme="minorEastAsia"/>
        </w:rPr>
      </w:pPr>
      <w:r>
        <w:rPr>
          <w:rFonts w:hint="eastAsia" w:asciiTheme="minorEastAsia" w:hAnsiTheme="minorEastAsia"/>
        </w:rPr>
        <w:t>（5）施工组织设计；</w:t>
      </w:r>
    </w:p>
    <w:p>
      <w:pPr>
        <w:spacing w:line="400" w:lineRule="exact"/>
        <w:ind w:firstLine="359" w:firstLineChars="171"/>
        <w:rPr>
          <w:rFonts w:asciiTheme="minorEastAsia" w:hAnsiTheme="minorEastAsia"/>
        </w:rPr>
      </w:pPr>
      <w:r>
        <w:rPr>
          <w:rFonts w:hint="eastAsia" w:asciiTheme="minorEastAsia" w:hAnsiTheme="minorEastAsia"/>
        </w:rPr>
        <w:t>（6）项目管理机构；</w:t>
      </w:r>
    </w:p>
    <w:p>
      <w:pPr>
        <w:spacing w:line="400" w:lineRule="exact"/>
        <w:ind w:firstLine="359" w:firstLineChars="171"/>
        <w:rPr>
          <w:rFonts w:asciiTheme="minorEastAsia" w:hAnsiTheme="minorEastAsia"/>
        </w:rPr>
      </w:pPr>
      <w:r>
        <w:rPr>
          <w:rFonts w:hint="eastAsia" w:asciiTheme="minorEastAsia" w:hAnsiTheme="minorEastAsia"/>
        </w:rPr>
        <w:t>（7）资格审查资料；</w:t>
      </w:r>
    </w:p>
    <w:p>
      <w:pPr>
        <w:spacing w:line="400" w:lineRule="exact"/>
        <w:ind w:firstLine="359" w:firstLineChars="171"/>
        <w:rPr>
          <w:rFonts w:asciiTheme="minorEastAsia" w:hAnsiTheme="minorEastAsia"/>
        </w:rPr>
      </w:pPr>
      <w:r>
        <w:rPr>
          <w:rFonts w:hint="eastAsia" w:asciiTheme="minorEastAsia" w:hAnsiTheme="minorEastAsia"/>
        </w:rPr>
        <w:t>（8）</w:t>
      </w:r>
      <w:r>
        <w:rPr>
          <w:rFonts w:hint="eastAsia" w:asciiTheme="minorEastAsia" w:hAnsiTheme="minorEastAsia"/>
          <w:lang w:eastAsia="zh-CN"/>
        </w:rPr>
        <w:t>响应人</w:t>
      </w:r>
      <w:r>
        <w:rPr>
          <w:rFonts w:hint="eastAsia" w:asciiTheme="minorEastAsia" w:hAnsiTheme="minorEastAsia"/>
        </w:rPr>
        <w:t>须知前附表规定的其他材料。</w:t>
      </w:r>
    </w:p>
    <w:p>
      <w:pPr>
        <w:spacing w:line="400" w:lineRule="exact"/>
        <w:ind w:firstLine="359" w:firstLineChars="171"/>
        <w:rPr>
          <w:rFonts w:asciiTheme="minorEastAsia" w:hAnsiTheme="minorEastAsia"/>
        </w:rPr>
      </w:pPr>
      <w:r>
        <w:rPr>
          <w:rFonts w:hint="eastAsia" w:asciiTheme="minorEastAsia" w:hAnsiTheme="minorEastAsia"/>
          <w:lang w:eastAsia="zh-CN"/>
        </w:rPr>
        <w:t>响应人</w:t>
      </w:r>
      <w:r>
        <w:rPr>
          <w:rFonts w:hint="eastAsia" w:asciiTheme="minorEastAsia" w:hAnsiTheme="minorEastAsia"/>
        </w:rPr>
        <w:t>在评标过程中作出的符合法律法规和竞争性磋商文件规定的澄清确认，构成响应文件的组成部分。</w:t>
      </w:r>
    </w:p>
    <w:p>
      <w:pPr>
        <w:pStyle w:val="7"/>
        <w:spacing w:before="0" w:after="0" w:line="360" w:lineRule="auto"/>
        <w:rPr>
          <w:sz w:val="21"/>
        </w:rPr>
      </w:pPr>
      <w:r>
        <w:rPr>
          <w:rFonts w:hint="eastAsia"/>
          <w:sz w:val="21"/>
        </w:rPr>
        <w:t>3.2  磋商报价</w:t>
      </w:r>
    </w:p>
    <w:p>
      <w:pPr>
        <w:spacing w:line="360" w:lineRule="auto"/>
        <w:ind w:firstLine="424" w:firstLineChars="202"/>
        <w:rPr>
          <w:rFonts w:asciiTheme="minorEastAsia" w:hAnsiTheme="minorEastAsia"/>
        </w:rPr>
      </w:pPr>
      <w:r>
        <w:rPr>
          <w:rFonts w:hint="eastAsia" w:asciiTheme="minorEastAsia" w:hAnsiTheme="minorEastAsia"/>
        </w:rPr>
        <w:t>3.2.</w:t>
      </w:r>
      <w:r>
        <w:rPr>
          <w:rFonts w:hint="eastAsia" w:asciiTheme="minorEastAsia" w:hAnsiTheme="minorEastAsia"/>
          <w:lang w:val="en-US" w:eastAsia="zh-CN"/>
        </w:rPr>
        <w:t>1</w:t>
      </w:r>
      <w:r>
        <w:rPr>
          <w:rFonts w:hint="eastAsia" w:asciiTheme="minorEastAsia" w:hAnsiTheme="minorEastAsia"/>
        </w:rPr>
        <w:t>磋商小组采用综合评分法对提交最后报价的</w:t>
      </w:r>
      <w:r>
        <w:rPr>
          <w:rFonts w:hint="eastAsia" w:asciiTheme="minorEastAsia" w:hAnsiTheme="minorEastAsia"/>
          <w:lang w:eastAsia="zh-CN"/>
        </w:rPr>
        <w:t>响应人</w:t>
      </w:r>
      <w:r>
        <w:rPr>
          <w:rFonts w:hint="eastAsia" w:asciiTheme="minorEastAsia" w:hAnsiTheme="minorEastAsia"/>
        </w:rPr>
        <w:t>的响应文件和最后报价进行综合评分。</w:t>
      </w:r>
    </w:p>
    <w:p>
      <w:pPr>
        <w:spacing w:line="360" w:lineRule="auto"/>
        <w:ind w:firstLine="424" w:firstLineChars="202"/>
        <w:rPr>
          <w:rFonts w:asciiTheme="minorEastAsia" w:hAnsiTheme="minorEastAsia"/>
        </w:rPr>
      </w:pPr>
      <w:r>
        <w:rPr>
          <w:rFonts w:hint="eastAsia" w:asciiTheme="minorEastAsia" w:hAnsiTheme="minorEastAsia"/>
        </w:rPr>
        <w:t>3.2.</w:t>
      </w:r>
      <w:r>
        <w:rPr>
          <w:rFonts w:hint="eastAsia" w:asciiTheme="minorEastAsia" w:hAnsiTheme="minorEastAsia"/>
          <w:lang w:val="en-US" w:eastAsia="zh-CN"/>
        </w:rPr>
        <w:t>2</w:t>
      </w:r>
      <w:r>
        <w:rPr>
          <w:rFonts w:hint="eastAsia" w:asciiTheme="minorEastAsia" w:hAnsiTheme="minorEastAsia"/>
        </w:rPr>
        <w:t xml:space="preserve"> 采购人设有最高限价的，</w:t>
      </w:r>
      <w:r>
        <w:rPr>
          <w:rFonts w:hint="eastAsia" w:asciiTheme="minorEastAsia" w:hAnsiTheme="minorEastAsia"/>
          <w:lang w:eastAsia="zh-CN"/>
        </w:rPr>
        <w:t>响应人</w:t>
      </w:r>
      <w:r>
        <w:rPr>
          <w:rFonts w:hint="eastAsia" w:asciiTheme="minorEastAsia" w:hAnsiTheme="minorEastAsia"/>
        </w:rPr>
        <w:t>的首次报价及最后报价均不得超过最高限价，最高限价在</w:t>
      </w:r>
      <w:r>
        <w:rPr>
          <w:rFonts w:hint="eastAsia" w:asciiTheme="minorEastAsia" w:hAnsiTheme="minorEastAsia"/>
          <w:lang w:eastAsia="zh-CN"/>
        </w:rPr>
        <w:t>响应人</w:t>
      </w:r>
      <w:r>
        <w:rPr>
          <w:rFonts w:hint="eastAsia" w:asciiTheme="minorEastAsia" w:hAnsiTheme="minorEastAsia"/>
        </w:rPr>
        <w:t>须知前附表中载明。</w:t>
      </w:r>
    </w:p>
    <w:p>
      <w:pPr>
        <w:spacing w:line="360" w:lineRule="auto"/>
        <w:ind w:firstLine="424" w:firstLineChars="202"/>
        <w:rPr>
          <w:rFonts w:asciiTheme="minorEastAsia" w:hAnsiTheme="minorEastAsia"/>
        </w:rPr>
      </w:pPr>
      <w:r>
        <w:rPr>
          <w:rFonts w:hint="eastAsia" w:asciiTheme="minorEastAsia" w:hAnsiTheme="minorEastAsia"/>
        </w:rPr>
        <w:t>3.2.</w:t>
      </w:r>
      <w:r>
        <w:rPr>
          <w:rFonts w:hint="eastAsia" w:asciiTheme="minorEastAsia" w:hAnsiTheme="minorEastAsia"/>
          <w:lang w:val="en-US" w:eastAsia="zh-CN"/>
        </w:rPr>
        <w:t>3</w:t>
      </w:r>
      <w:r>
        <w:rPr>
          <w:rFonts w:hint="eastAsia" w:asciiTheme="minorEastAsia" w:hAnsiTheme="minorEastAsia"/>
        </w:rPr>
        <w:t>磋商报价的其他要求见</w:t>
      </w:r>
      <w:r>
        <w:rPr>
          <w:rFonts w:hint="eastAsia" w:asciiTheme="minorEastAsia" w:hAnsiTheme="minorEastAsia"/>
          <w:lang w:eastAsia="zh-CN"/>
        </w:rPr>
        <w:t>响应人</w:t>
      </w:r>
      <w:r>
        <w:rPr>
          <w:rFonts w:hint="eastAsia" w:asciiTheme="minorEastAsia" w:hAnsiTheme="minorEastAsia"/>
        </w:rPr>
        <w:t>须知前附表。</w:t>
      </w:r>
    </w:p>
    <w:p>
      <w:pPr>
        <w:pStyle w:val="7"/>
        <w:spacing w:before="0" w:after="0" w:line="360" w:lineRule="auto"/>
        <w:rPr>
          <w:sz w:val="21"/>
        </w:rPr>
      </w:pPr>
      <w:r>
        <w:rPr>
          <w:rFonts w:hint="eastAsia"/>
          <w:sz w:val="21"/>
        </w:rPr>
        <w:t>3.3  磋商有效期</w:t>
      </w:r>
    </w:p>
    <w:p>
      <w:pPr>
        <w:spacing w:line="360" w:lineRule="auto"/>
        <w:ind w:firstLine="424" w:firstLineChars="202"/>
        <w:rPr>
          <w:rFonts w:asciiTheme="minorEastAsia" w:hAnsiTheme="minorEastAsia"/>
        </w:rPr>
      </w:pPr>
      <w:r>
        <w:rPr>
          <w:rFonts w:hint="eastAsia" w:asciiTheme="minorEastAsia" w:hAnsiTheme="minorEastAsia"/>
        </w:rPr>
        <w:t>3.3.1 磋商有效期要求见</w:t>
      </w:r>
      <w:r>
        <w:rPr>
          <w:rFonts w:hint="eastAsia" w:asciiTheme="minorEastAsia" w:hAnsiTheme="minorEastAsia"/>
          <w:lang w:eastAsia="zh-CN"/>
        </w:rPr>
        <w:t>响应人</w:t>
      </w:r>
      <w:r>
        <w:rPr>
          <w:rFonts w:hint="eastAsia" w:asciiTheme="minorEastAsia" w:hAnsiTheme="minorEastAsia"/>
        </w:rPr>
        <w:t>须知前附表。</w:t>
      </w:r>
    </w:p>
    <w:p>
      <w:pPr>
        <w:spacing w:line="360" w:lineRule="auto"/>
        <w:ind w:firstLine="424" w:firstLineChars="202"/>
        <w:rPr>
          <w:rFonts w:asciiTheme="minorEastAsia" w:hAnsiTheme="minorEastAsia"/>
        </w:rPr>
      </w:pPr>
      <w:r>
        <w:rPr>
          <w:rFonts w:hint="eastAsia" w:asciiTheme="minorEastAsia" w:hAnsiTheme="minorEastAsia"/>
        </w:rPr>
        <w:t>3.3.2磋商有效期从提交响应文件的截止之日起算。响应文件中承诺的磋商有效期应当不少于竞争性磋商文件中载明的磋商有效期。磋商有效期内</w:t>
      </w:r>
      <w:r>
        <w:rPr>
          <w:rFonts w:hint="eastAsia" w:asciiTheme="minorEastAsia" w:hAnsiTheme="minorEastAsia"/>
          <w:lang w:eastAsia="zh-CN"/>
        </w:rPr>
        <w:t>响应人</w:t>
      </w:r>
      <w:r>
        <w:rPr>
          <w:rFonts w:hint="eastAsia" w:asciiTheme="minorEastAsia" w:hAnsiTheme="minorEastAsia"/>
        </w:rPr>
        <w:t>撤销响应文件的，响应文件无效。</w:t>
      </w:r>
    </w:p>
    <w:p>
      <w:pPr>
        <w:pStyle w:val="7"/>
        <w:spacing w:before="0" w:after="0" w:line="360" w:lineRule="auto"/>
        <w:rPr>
          <w:sz w:val="21"/>
        </w:rPr>
      </w:pPr>
      <w:r>
        <w:rPr>
          <w:rFonts w:hint="eastAsia"/>
          <w:sz w:val="21"/>
        </w:rPr>
        <w:t>3.4  磋商承诺函</w:t>
      </w:r>
    </w:p>
    <w:p>
      <w:pPr>
        <w:spacing w:line="360" w:lineRule="auto"/>
        <w:ind w:firstLine="424" w:firstLineChars="202"/>
        <w:rPr>
          <w:rFonts w:asciiTheme="minorEastAsia" w:hAnsiTheme="minorEastAsia"/>
        </w:rPr>
      </w:pPr>
      <w:r>
        <w:rPr>
          <w:rFonts w:hint="eastAsia" w:asciiTheme="minorEastAsia" w:hAnsiTheme="minorEastAsia"/>
        </w:rPr>
        <w:t>3.4.1  磋商承诺函要求见</w:t>
      </w:r>
      <w:r>
        <w:rPr>
          <w:rFonts w:hint="eastAsia" w:asciiTheme="minorEastAsia" w:hAnsiTheme="minorEastAsia"/>
          <w:lang w:eastAsia="zh-CN"/>
        </w:rPr>
        <w:t>响应人</w:t>
      </w:r>
      <w:r>
        <w:rPr>
          <w:rFonts w:hint="eastAsia" w:asciiTheme="minorEastAsia" w:hAnsiTheme="minorEastAsia"/>
        </w:rPr>
        <w:t>须知前附表。</w:t>
      </w:r>
    </w:p>
    <w:p>
      <w:pPr>
        <w:pStyle w:val="7"/>
        <w:spacing w:before="0" w:after="0" w:line="360" w:lineRule="auto"/>
        <w:rPr>
          <w:sz w:val="21"/>
        </w:rPr>
      </w:pPr>
      <w:r>
        <w:rPr>
          <w:rFonts w:hint="eastAsia"/>
          <w:sz w:val="21"/>
        </w:rPr>
        <w:t>3.5 资格审查资料</w:t>
      </w:r>
    </w:p>
    <w:p>
      <w:pPr>
        <w:spacing w:line="360" w:lineRule="auto"/>
        <w:ind w:firstLine="424" w:firstLineChars="202"/>
        <w:rPr>
          <w:rFonts w:asciiTheme="minorEastAsia" w:hAnsiTheme="minorEastAsia"/>
        </w:rPr>
      </w:pPr>
      <w:r>
        <w:rPr>
          <w:rFonts w:hint="eastAsia" w:asciiTheme="minorEastAsia" w:hAnsiTheme="minorEastAsia"/>
        </w:rPr>
        <w:t>除</w:t>
      </w:r>
      <w:r>
        <w:rPr>
          <w:rFonts w:hint="eastAsia" w:asciiTheme="minorEastAsia" w:hAnsiTheme="minorEastAsia"/>
          <w:lang w:eastAsia="zh-CN"/>
        </w:rPr>
        <w:t>响应人</w:t>
      </w:r>
      <w:r>
        <w:rPr>
          <w:rFonts w:hint="eastAsia" w:asciiTheme="minorEastAsia" w:hAnsiTheme="minorEastAsia"/>
        </w:rPr>
        <w:t>须知前附表另有规定外，</w:t>
      </w:r>
      <w:r>
        <w:rPr>
          <w:rFonts w:hint="eastAsia" w:asciiTheme="minorEastAsia" w:hAnsiTheme="minorEastAsia"/>
          <w:lang w:eastAsia="zh-CN"/>
        </w:rPr>
        <w:t>响应人</w:t>
      </w:r>
      <w:r>
        <w:rPr>
          <w:rFonts w:hint="eastAsia" w:asciiTheme="minorEastAsia" w:hAnsiTheme="minorEastAsia"/>
        </w:rPr>
        <w:t>应按规定提供资格审查资料，以证明其满足本章第1.4.1款要求。</w:t>
      </w:r>
    </w:p>
    <w:p>
      <w:pPr>
        <w:pStyle w:val="7"/>
        <w:spacing w:before="0" w:after="0" w:line="360" w:lineRule="auto"/>
        <w:rPr>
          <w:sz w:val="21"/>
        </w:rPr>
      </w:pPr>
      <w:r>
        <w:rPr>
          <w:rFonts w:hint="eastAsia"/>
          <w:sz w:val="21"/>
        </w:rPr>
        <w:t>3.6 备选磋商方案</w:t>
      </w:r>
    </w:p>
    <w:p>
      <w:pPr>
        <w:spacing w:line="360" w:lineRule="auto"/>
        <w:ind w:firstLine="424" w:firstLineChars="202"/>
        <w:rPr>
          <w:rFonts w:asciiTheme="minorEastAsia" w:hAnsiTheme="minorEastAsia"/>
        </w:rPr>
      </w:pPr>
      <w:r>
        <w:rPr>
          <w:rFonts w:hint="eastAsia" w:asciiTheme="minorEastAsia" w:hAnsiTheme="minorEastAsia"/>
        </w:rPr>
        <w:t>3.6.1 除</w:t>
      </w:r>
      <w:r>
        <w:rPr>
          <w:rFonts w:hint="eastAsia" w:asciiTheme="minorEastAsia" w:hAnsiTheme="minorEastAsia"/>
          <w:lang w:eastAsia="zh-CN"/>
        </w:rPr>
        <w:t>响应人</w:t>
      </w:r>
      <w:r>
        <w:rPr>
          <w:rFonts w:hint="eastAsia" w:asciiTheme="minorEastAsia" w:hAnsiTheme="minorEastAsia"/>
        </w:rPr>
        <w:t>须知前附表规定允许外，</w:t>
      </w:r>
      <w:r>
        <w:rPr>
          <w:rFonts w:hint="eastAsia" w:asciiTheme="minorEastAsia" w:hAnsiTheme="minorEastAsia"/>
          <w:lang w:eastAsia="zh-CN"/>
        </w:rPr>
        <w:t>响应人</w:t>
      </w:r>
      <w:r>
        <w:rPr>
          <w:rFonts w:hint="eastAsia" w:asciiTheme="minorEastAsia" w:hAnsiTheme="minorEastAsia"/>
        </w:rPr>
        <w:t>不得提交备选磋商方案，否则其响应文件将被否决。</w:t>
      </w:r>
    </w:p>
    <w:p>
      <w:pPr>
        <w:pStyle w:val="7"/>
        <w:spacing w:before="0" w:after="0" w:line="360" w:lineRule="auto"/>
        <w:rPr>
          <w:sz w:val="21"/>
        </w:rPr>
      </w:pPr>
      <w:r>
        <w:rPr>
          <w:rFonts w:hint="eastAsia"/>
          <w:sz w:val="21"/>
        </w:rPr>
        <w:t>3.7  响应文件的编制</w:t>
      </w:r>
    </w:p>
    <w:p>
      <w:pPr>
        <w:spacing w:line="360" w:lineRule="auto"/>
        <w:ind w:firstLine="424" w:firstLineChars="202"/>
        <w:rPr>
          <w:rFonts w:asciiTheme="minorEastAsia" w:hAnsiTheme="minorEastAsia"/>
        </w:rPr>
      </w:pPr>
      <w:r>
        <w:rPr>
          <w:rFonts w:hint="eastAsia" w:asciiTheme="minorEastAsia" w:hAnsiTheme="minorEastAsia"/>
        </w:rPr>
        <w:t>3.7.1 响应文件应按第六章“响应文件格式”进行编写，如有必要，可以增加附页，作为响应文件的组成部分。</w:t>
      </w:r>
      <w:r>
        <w:rPr>
          <w:rFonts w:hint="eastAsia"/>
        </w:rPr>
        <w:t>其中，磋商函附录在满足磋商文件实质性要求的基础上，可以提出比磋商文件要求更有利于采购人的承诺。</w:t>
      </w:r>
    </w:p>
    <w:p>
      <w:pPr>
        <w:spacing w:line="360" w:lineRule="auto"/>
        <w:ind w:firstLine="424" w:firstLineChars="202"/>
        <w:rPr>
          <w:rFonts w:asciiTheme="minorEastAsia" w:hAnsiTheme="minorEastAsia"/>
        </w:rPr>
      </w:pPr>
      <w:r>
        <w:rPr>
          <w:rFonts w:hint="eastAsia" w:asciiTheme="minorEastAsia" w:hAnsiTheme="minorEastAsia"/>
        </w:rPr>
        <w:t>3.7.2</w:t>
      </w:r>
      <w:r>
        <w:rPr>
          <w:rFonts w:hint="eastAsia"/>
        </w:rPr>
        <w:t>响应文件应当对磋商文件有关</w:t>
      </w:r>
      <w:r>
        <w:rPr>
          <w:rFonts w:hint="eastAsia"/>
          <w:szCs w:val="21"/>
        </w:rPr>
        <w:t>工期、磋商有效期、质量要求、技术标准和要求、磋商范围等实质性内容作出响应。</w:t>
      </w:r>
    </w:p>
    <w:p>
      <w:pPr>
        <w:spacing w:line="360" w:lineRule="auto"/>
        <w:ind w:firstLine="424" w:firstLineChars="202"/>
        <w:rPr>
          <w:rFonts w:asciiTheme="minorEastAsia" w:hAnsiTheme="minorEastAsia"/>
        </w:rPr>
      </w:pPr>
      <w:r>
        <w:rPr>
          <w:rFonts w:hint="eastAsia" w:asciiTheme="minorEastAsia" w:hAnsiTheme="minorEastAsia"/>
        </w:rPr>
        <w:t>3.7.3响应文件全部采用电子文档，除</w:t>
      </w:r>
      <w:r>
        <w:rPr>
          <w:rFonts w:hint="eastAsia" w:asciiTheme="minorEastAsia" w:hAnsiTheme="minorEastAsia"/>
          <w:lang w:eastAsia="zh-CN"/>
        </w:rPr>
        <w:t>响应人</w:t>
      </w:r>
      <w:r>
        <w:rPr>
          <w:rFonts w:hint="eastAsia" w:asciiTheme="minorEastAsia" w:hAnsiTheme="minorEastAsia"/>
        </w:rPr>
        <w:t>须知前附表另有规定外，响应文件所附证书证件均为原件扫描件，并采用单位和个人数字证书，按竞争性磋商文件要求在相应位置加盖电子印章。由</w:t>
      </w:r>
      <w:r>
        <w:rPr>
          <w:rFonts w:hint="eastAsia" w:asciiTheme="minorEastAsia" w:hAnsiTheme="minorEastAsia"/>
          <w:lang w:eastAsia="zh-CN"/>
        </w:rPr>
        <w:t>响应人</w:t>
      </w:r>
      <w:r>
        <w:rPr>
          <w:rFonts w:hint="eastAsia" w:asciiTheme="minorEastAsia" w:hAnsiTheme="minorEastAsia"/>
        </w:rPr>
        <w:t>的法定代表人（单位负责人）签字或加盖电子印章的，应附法定代表人（单位负责人）身份证明，由代理人签字或加盖电子印章的，应附由法定代表人（单位负责人）签署的授权委托书。签字或盖章的具体要求见</w:t>
      </w:r>
      <w:r>
        <w:rPr>
          <w:rFonts w:hint="eastAsia" w:asciiTheme="minorEastAsia" w:hAnsiTheme="minorEastAsia"/>
          <w:lang w:eastAsia="zh-CN"/>
        </w:rPr>
        <w:t>响应人</w:t>
      </w:r>
      <w:r>
        <w:rPr>
          <w:rFonts w:hint="eastAsia" w:asciiTheme="minorEastAsia" w:hAnsiTheme="minorEastAsia"/>
        </w:rPr>
        <w:t>须知前附表。</w:t>
      </w:r>
    </w:p>
    <w:p>
      <w:pPr>
        <w:pStyle w:val="6"/>
        <w:spacing w:before="0" w:after="0" w:line="360" w:lineRule="auto"/>
        <w:rPr>
          <w:sz w:val="24"/>
        </w:rPr>
      </w:pPr>
      <w:bookmarkStart w:id="7" w:name="_Toc43371478"/>
      <w:r>
        <w:rPr>
          <w:rFonts w:hint="eastAsia"/>
          <w:sz w:val="24"/>
        </w:rPr>
        <w:t>4.  磋商</w:t>
      </w:r>
      <w:bookmarkEnd w:id="7"/>
    </w:p>
    <w:p>
      <w:pPr>
        <w:pStyle w:val="7"/>
        <w:spacing w:before="0" w:after="0" w:line="360" w:lineRule="auto"/>
        <w:rPr>
          <w:sz w:val="21"/>
        </w:rPr>
      </w:pPr>
      <w:r>
        <w:rPr>
          <w:rFonts w:hint="eastAsia"/>
          <w:sz w:val="21"/>
        </w:rPr>
        <w:t>4.1  响应文件的加密和标记</w:t>
      </w:r>
    </w:p>
    <w:p>
      <w:pPr>
        <w:spacing w:line="360" w:lineRule="auto"/>
        <w:ind w:firstLine="424" w:firstLineChars="202"/>
        <w:rPr>
          <w:rFonts w:asciiTheme="minorEastAsia" w:hAnsiTheme="minorEastAsia"/>
        </w:rPr>
      </w:pPr>
      <w:r>
        <w:rPr>
          <w:rFonts w:hint="eastAsia" w:asciiTheme="minorEastAsia" w:hAnsiTheme="minorEastAsia"/>
        </w:rPr>
        <w:t>4.1.1</w:t>
      </w:r>
      <w:r>
        <w:rPr>
          <w:rFonts w:hint="eastAsia" w:asciiTheme="minorEastAsia" w:hAnsiTheme="minorEastAsia"/>
          <w:lang w:eastAsia="zh-CN"/>
        </w:rPr>
        <w:t>响应人</w:t>
      </w:r>
      <w:r>
        <w:rPr>
          <w:rFonts w:hint="eastAsia" w:asciiTheme="minorEastAsia" w:hAnsiTheme="minorEastAsia"/>
        </w:rPr>
        <w:t>应当按照竞争性磋商文件和电子招标投标交易平台的要求加密响应文件，具体要求见</w:t>
      </w:r>
      <w:r>
        <w:rPr>
          <w:rFonts w:hint="eastAsia" w:asciiTheme="minorEastAsia" w:hAnsiTheme="minorEastAsia"/>
          <w:lang w:eastAsia="zh-CN"/>
        </w:rPr>
        <w:t>响应人</w:t>
      </w:r>
      <w:r>
        <w:rPr>
          <w:rFonts w:hint="eastAsia" w:asciiTheme="minorEastAsia" w:hAnsiTheme="minorEastAsia"/>
        </w:rPr>
        <w:t>须知前附表。</w:t>
      </w:r>
    </w:p>
    <w:p>
      <w:pPr>
        <w:spacing w:line="360" w:lineRule="auto"/>
        <w:ind w:firstLine="424" w:firstLineChars="202"/>
        <w:rPr>
          <w:rFonts w:asciiTheme="minorEastAsia" w:hAnsiTheme="minorEastAsia"/>
        </w:rPr>
      </w:pPr>
      <w:r>
        <w:rPr>
          <w:rFonts w:hint="eastAsia" w:asciiTheme="minorEastAsia" w:hAnsiTheme="minorEastAsia"/>
        </w:rPr>
        <w:t>4.1.2 未按本章第 4.1.1 项要求加密的响应文件，采购人将予以拒收。</w:t>
      </w:r>
    </w:p>
    <w:p>
      <w:pPr>
        <w:pStyle w:val="7"/>
        <w:spacing w:before="0" w:after="0" w:line="360" w:lineRule="auto"/>
        <w:rPr>
          <w:sz w:val="21"/>
        </w:rPr>
      </w:pPr>
      <w:r>
        <w:rPr>
          <w:rFonts w:hint="eastAsia"/>
          <w:sz w:val="21"/>
        </w:rPr>
        <w:t>4.2  响应文件的上传</w:t>
      </w:r>
    </w:p>
    <w:p>
      <w:pPr>
        <w:spacing w:line="360" w:lineRule="auto"/>
        <w:ind w:firstLine="424" w:firstLineChars="202"/>
        <w:rPr>
          <w:rFonts w:asciiTheme="minorEastAsia" w:hAnsiTheme="minorEastAsia"/>
        </w:rPr>
      </w:pPr>
      <w:r>
        <w:rPr>
          <w:rFonts w:hint="eastAsia" w:asciiTheme="minorEastAsia" w:hAnsiTheme="minorEastAsia"/>
        </w:rPr>
        <w:t xml:space="preserve">4.2.1 </w:t>
      </w:r>
      <w:r>
        <w:rPr>
          <w:rFonts w:hint="eastAsia" w:asciiTheme="minorEastAsia" w:hAnsiTheme="minorEastAsia"/>
          <w:lang w:eastAsia="zh-CN"/>
        </w:rPr>
        <w:t>响应人</w:t>
      </w:r>
      <w:r>
        <w:rPr>
          <w:rFonts w:hint="eastAsia" w:asciiTheme="minorEastAsia" w:hAnsiTheme="minorEastAsia"/>
        </w:rPr>
        <w:t>应在</w:t>
      </w:r>
      <w:r>
        <w:rPr>
          <w:rFonts w:hint="eastAsia" w:asciiTheme="minorEastAsia" w:hAnsiTheme="minorEastAsia"/>
          <w:lang w:eastAsia="zh-CN"/>
        </w:rPr>
        <w:t>响应人</w:t>
      </w:r>
      <w:r>
        <w:rPr>
          <w:rFonts w:hint="eastAsia" w:asciiTheme="minorEastAsia" w:hAnsiTheme="minorEastAsia"/>
        </w:rPr>
        <w:t>须知前附表规定的提交响应文件截止时间前上传响应文件。</w:t>
      </w:r>
    </w:p>
    <w:p>
      <w:pPr>
        <w:spacing w:line="360" w:lineRule="auto"/>
        <w:ind w:firstLine="424" w:firstLineChars="202"/>
        <w:rPr>
          <w:rFonts w:asciiTheme="minorEastAsia" w:hAnsiTheme="minorEastAsia"/>
        </w:rPr>
      </w:pPr>
      <w:r>
        <w:rPr>
          <w:rFonts w:hint="eastAsia" w:asciiTheme="minorEastAsia" w:hAnsiTheme="minorEastAsia"/>
        </w:rPr>
        <w:t>4.2.2</w:t>
      </w:r>
      <w:r>
        <w:rPr>
          <w:rFonts w:hint="eastAsia" w:asciiTheme="minorEastAsia" w:hAnsiTheme="minorEastAsia"/>
          <w:lang w:eastAsia="zh-CN"/>
        </w:rPr>
        <w:t>响应人</w:t>
      </w:r>
      <w:r>
        <w:rPr>
          <w:rFonts w:hint="eastAsia" w:asciiTheme="minorEastAsia" w:hAnsiTheme="minorEastAsia"/>
        </w:rPr>
        <w:t>通过下载竞争性磋商文件的电子招标投标交易平台提交电子响应文件。</w:t>
      </w:r>
    </w:p>
    <w:p>
      <w:pPr>
        <w:spacing w:line="360" w:lineRule="auto"/>
        <w:ind w:firstLine="424" w:firstLineChars="202"/>
        <w:rPr>
          <w:rFonts w:asciiTheme="minorEastAsia" w:hAnsiTheme="minorEastAsia"/>
        </w:rPr>
      </w:pPr>
      <w:r>
        <w:rPr>
          <w:rFonts w:hint="eastAsia" w:asciiTheme="minorEastAsia" w:hAnsiTheme="minorEastAsia"/>
        </w:rPr>
        <w:t>4.2.3 除</w:t>
      </w:r>
      <w:r>
        <w:rPr>
          <w:rFonts w:hint="eastAsia" w:asciiTheme="minorEastAsia" w:hAnsiTheme="minorEastAsia"/>
          <w:lang w:eastAsia="zh-CN"/>
        </w:rPr>
        <w:t>响应人</w:t>
      </w:r>
      <w:r>
        <w:rPr>
          <w:rFonts w:hint="eastAsia" w:asciiTheme="minorEastAsia" w:hAnsiTheme="minorEastAsia"/>
        </w:rPr>
        <w:t>须知前附表另有规定外，</w:t>
      </w:r>
      <w:r>
        <w:rPr>
          <w:rFonts w:hint="eastAsia" w:asciiTheme="minorEastAsia" w:hAnsiTheme="minorEastAsia"/>
          <w:lang w:eastAsia="zh-CN"/>
        </w:rPr>
        <w:t>响应人</w:t>
      </w:r>
      <w:r>
        <w:rPr>
          <w:rFonts w:hint="eastAsia" w:asciiTheme="minorEastAsia" w:hAnsiTheme="minorEastAsia"/>
        </w:rPr>
        <w:t>所提交的响应文件不予退还。</w:t>
      </w:r>
    </w:p>
    <w:p>
      <w:pPr>
        <w:spacing w:line="360" w:lineRule="auto"/>
        <w:ind w:firstLine="424" w:firstLineChars="202"/>
        <w:rPr>
          <w:rFonts w:asciiTheme="minorEastAsia" w:hAnsiTheme="minorEastAsia"/>
        </w:rPr>
      </w:pPr>
      <w:r>
        <w:rPr>
          <w:rFonts w:hint="eastAsia" w:asciiTheme="minorEastAsia" w:hAnsiTheme="minorEastAsia"/>
        </w:rPr>
        <w:t>4.2.4</w:t>
      </w:r>
      <w:r>
        <w:rPr>
          <w:rFonts w:hint="eastAsia" w:asciiTheme="minorEastAsia" w:hAnsiTheme="minorEastAsia"/>
          <w:lang w:eastAsia="zh-CN"/>
        </w:rPr>
        <w:t>响应人</w:t>
      </w:r>
      <w:r>
        <w:rPr>
          <w:rFonts w:hint="eastAsia" w:asciiTheme="minorEastAsia" w:hAnsiTheme="minorEastAsia"/>
        </w:rPr>
        <w:t>完成电子响应文件上传后，电子招标投标交易平台即时向</w:t>
      </w:r>
      <w:r>
        <w:rPr>
          <w:rFonts w:hint="eastAsia" w:asciiTheme="minorEastAsia" w:hAnsiTheme="minorEastAsia"/>
          <w:lang w:eastAsia="zh-CN"/>
        </w:rPr>
        <w:t>响应人</w:t>
      </w:r>
      <w:r>
        <w:rPr>
          <w:rFonts w:hint="eastAsia" w:asciiTheme="minorEastAsia" w:hAnsiTheme="minorEastAsia"/>
        </w:rPr>
        <w:t>发出提交回执通知。提交时间以提交回执通知载明的传输完成时间为准。</w:t>
      </w:r>
    </w:p>
    <w:p>
      <w:pPr>
        <w:spacing w:line="360" w:lineRule="auto"/>
        <w:ind w:firstLine="424" w:firstLineChars="202"/>
        <w:rPr>
          <w:rFonts w:asciiTheme="minorEastAsia" w:hAnsiTheme="minorEastAsia"/>
        </w:rPr>
      </w:pPr>
      <w:r>
        <w:rPr>
          <w:rFonts w:hint="eastAsia" w:asciiTheme="minorEastAsia" w:hAnsiTheme="minorEastAsia"/>
        </w:rPr>
        <w:t>4.2.5逾期送达的响应文件，电子招标投标交易平台将予以拒收。</w:t>
      </w:r>
    </w:p>
    <w:p>
      <w:pPr>
        <w:pStyle w:val="7"/>
        <w:spacing w:before="0" w:after="0" w:line="360" w:lineRule="auto"/>
        <w:rPr>
          <w:sz w:val="21"/>
        </w:rPr>
      </w:pPr>
      <w:r>
        <w:rPr>
          <w:rFonts w:hint="eastAsia"/>
          <w:sz w:val="21"/>
        </w:rPr>
        <w:t>4.3  响应文件的修改与撤回</w:t>
      </w:r>
    </w:p>
    <w:p>
      <w:pPr>
        <w:spacing w:line="360" w:lineRule="auto"/>
        <w:ind w:firstLine="424" w:firstLineChars="202"/>
        <w:rPr>
          <w:rFonts w:asciiTheme="minorEastAsia" w:hAnsiTheme="minorEastAsia"/>
        </w:rPr>
      </w:pPr>
      <w:r>
        <w:rPr>
          <w:rFonts w:hint="eastAsia" w:asciiTheme="minorEastAsia" w:hAnsiTheme="minorEastAsia"/>
        </w:rPr>
        <w:t>4.3.1 在本章第 4.2.1 项规定的提交响应文件截止时间前，</w:t>
      </w:r>
      <w:r>
        <w:rPr>
          <w:rFonts w:hint="eastAsia" w:asciiTheme="minorEastAsia" w:hAnsiTheme="minorEastAsia"/>
          <w:lang w:eastAsia="zh-CN"/>
        </w:rPr>
        <w:t>响应人</w:t>
      </w:r>
      <w:r>
        <w:rPr>
          <w:rFonts w:hint="eastAsia" w:asciiTheme="minorEastAsia" w:hAnsiTheme="minorEastAsia"/>
        </w:rPr>
        <w:t>可以修改或撤回已提交的响应文件，但应以线上形式通知采购人。</w:t>
      </w:r>
    </w:p>
    <w:p>
      <w:pPr>
        <w:spacing w:line="360" w:lineRule="auto"/>
        <w:ind w:firstLine="424" w:firstLineChars="202"/>
        <w:rPr>
          <w:rFonts w:asciiTheme="minorEastAsia" w:hAnsiTheme="minorEastAsia"/>
        </w:rPr>
      </w:pPr>
      <w:r>
        <w:rPr>
          <w:rFonts w:hint="eastAsia" w:asciiTheme="minorEastAsia" w:hAnsiTheme="minorEastAsia"/>
        </w:rPr>
        <w:t>4.3.2</w:t>
      </w:r>
      <w:r>
        <w:rPr>
          <w:rFonts w:hint="eastAsia" w:asciiTheme="minorEastAsia" w:hAnsiTheme="minorEastAsia"/>
          <w:lang w:eastAsia="zh-CN"/>
        </w:rPr>
        <w:t>响应人</w:t>
      </w:r>
      <w:r>
        <w:rPr>
          <w:rFonts w:hint="eastAsia" w:asciiTheme="minorEastAsia" w:hAnsiTheme="minorEastAsia"/>
        </w:rPr>
        <w:t>修改或撤回已提交响应文件的通知，应按照本章第 3.7.3项的要求加盖电子印章。电子招标投标交易平台收到通知后，即时向</w:t>
      </w:r>
      <w:r>
        <w:rPr>
          <w:rFonts w:hint="eastAsia" w:asciiTheme="minorEastAsia" w:hAnsiTheme="minorEastAsia"/>
          <w:lang w:eastAsia="zh-CN"/>
        </w:rPr>
        <w:t>响应人</w:t>
      </w:r>
      <w:r>
        <w:rPr>
          <w:rFonts w:hint="eastAsia" w:asciiTheme="minorEastAsia" w:hAnsiTheme="minorEastAsia"/>
        </w:rPr>
        <w:t>发出确认回执通知。</w:t>
      </w:r>
    </w:p>
    <w:p>
      <w:pPr>
        <w:spacing w:line="360" w:lineRule="auto"/>
        <w:ind w:firstLine="424" w:firstLineChars="202"/>
        <w:rPr>
          <w:rFonts w:asciiTheme="minorEastAsia" w:hAnsiTheme="minorEastAsia"/>
        </w:rPr>
      </w:pPr>
      <w:r>
        <w:rPr>
          <w:rFonts w:hint="eastAsia" w:asciiTheme="minorEastAsia" w:hAnsiTheme="minorEastAsia"/>
        </w:rPr>
        <w:t>4.3.3 修改的内容为响应文件的组成部分。修改的响应文件应按照本章第 3 条、第 4 条的规定进行编制、密封（加密）、标记和提交，并标明“修改”字样。</w:t>
      </w:r>
    </w:p>
    <w:p>
      <w:pPr>
        <w:pStyle w:val="6"/>
        <w:spacing w:before="0" w:after="0" w:line="360" w:lineRule="auto"/>
        <w:rPr>
          <w:sz w:val="24"/>
        </w:rPr>
      </w:pPr>
      <w:bookmarkStart w:id="8" w:name="_Toc43371479"/>
      <w:r>
        <w:rPr>
          <w:rFonts w:hint="eastAsia"/>
          <w:sz w:val="24"/>
        </w:rPr>
        <w:t>5.  开标</w:t>
      </w:r>
      <w:bookmarkEnd w:id="8"/>
    </w:p>
    <w:p>
      <w:pPr>
        <w:pStyle w:val="7"/>
        <w:spacing w:before="0" w:after="0" w:line="360" w:lineRule="auto"/>
        <w:rPr>
          <w:sz w:val="21"/>
        </w:rPr>
      </w:pPr>
      <w:r>
        <w:rPr>
          <w:rFonts w:hint="eastAsia"/>
          <w:sz w:val="21"/>
        </w:rPr>
        <w:t>5.1 开标时间和地点</w:t>
      </w:r>
    </w:p>
    <w:p>
      <w:pPr>
        <w:spacing w:line="360" w:lineRule="auto"/>
        <w:ind w:firstLine="424" w:firstLineChars="202"/>
        <w:rPr>
          <w:rFonts w:asciiTheme="minorEastAsia" w:hAnsiTheme="minorEastAsia"/>
        </w:rPr>
      </w:pPr>
      <w:r>
        <w:rPr>
          <w:rFonts w:hint="eastAsia" w:asciiTheme="minorEastAsia" w:hAnsiTheme="minorEastAsia"/>
        </w:rPr>
        <w:t>采购人在本章第 4.2.1 项规定的提交响应文件截止时间（开标时间）,通过电子招标投标交易平台公开开标，所有</w:t>
      </w:r>
      <w:r>
        <w:rPr>
          <w:rFonts w:hint="eastAsia" w:asciiTheme="minorEastAsia" w:hAnsiTheme="minorEastAsia"/>
          <w:lang w:eastAsia="zh-CN"/>
        </w:rPr>
        <w:t>响应人</w:t>
      </w:r>
      <w:r>
        <w:rPr>
          <w:rFonts w:hint="eastAsia" w:asciiTheme="minorEastAsia" w:hAnsiTheme="minorEastAsia"/>
        </w:rPr>
        <w:t>的法定代表人（单位负责人）或其委托代理人应当</w:t>
      </w:r>
      <w:r>
        <w:rPr>
          <w:rFonts w:hAnsi="宋体"/>
          <w:szCs w:val="21"/>
        </w:rPr>
        <w:t>携带身份证明、</w:t>
      </w:r>
      <w:r>
        <w:rPr>
          <w:rFonts w:hint="eastAsia" w:hAnsi="宋体"/>
          <w:szCs w:val="21"/>
        </w:rPr>
        <w:t>单位</w:t>
      </w:r>
      <w:r>
        <w:rPr>
          <w:rFonts w:hAnsi="宋体"/>
          <w:szCs w:val="21"/>
        </w:rPr>
        <w:t>CA证书</w:t>
      </w:r>
      <w:r>
        <w:rPr>
          <w:rFonts w:hint="eastAsia" w:asciiTheme="minorEastAsia" w:hAnsiTheme="minorEastAsia"/>
        </w:rPr>
        <w:t>准时参加。</w:t>
      </w:r>
    </w:p>
    <w:p>
      <w:pPr>
        <w:pStyle w:val="7"/>
        <w:spacing w:before="0" w:after="0" w:line="360" w:lineRule="auto"/>
        <w:rPr>
          <w:sz w:val="21"/>
        </w:rPr>
      </w:pPr>
      <w:r>
        <w:rPr>
          <w:rFonts w:hint="eastAsia"/>
          <w:sz w:val="21"/>
        </w:rPr>
        <w:t>5.2  开标程序</w:t>
      </w:r>
    </w:p>
    <w:p>
      <w:pPr>
        <w:spacing w:line="360" w:lineRule="auto"/>
        <w:ind w:firstLine="424" w:firstLineChars="202"/>
        <w:rPr>
          <w:rFonts w:asciiTheme="minorEastAsia" w:hAnsiTheme="minorEastAsia"/>
        </w:rPr>
      </w:pPr>
      <w:r>
        <w:rPr>
          <w:rFonts w:hint="eastAsia" w:asciiTheme="minorEastAsia" w:hAnsiTheme="minorEastAsia"/>
        </w:rPr>
        <w:t>5.2.1主持人按下列程序进行开标：</w:t>
      </w:r>
    </w:p>
    <w:p>
      <w:pPr>
        <w:spacing w:line="360" w:lineRule="auto"/>
        <w:ind w:firstLine="424" w:firstLineChars="202"/>
        <w:rPr>
          <w:rFonts w:asciiTheme="minorEastAsia" w:hAnsiTheme="minorEastAsia"/>
        </w:rPr>
      </w:pPr>
      <w:r>
        <w:rPr>
          <w:rFonts w:hint="eastAsia" w:asciiTheme="minorEastAsia" w:hAnsiTheme="minorEastAsia"/>
        </w:rPr>
        <w:t>（1）宣布开标纪律；</w:t>
      </w:r>
    </w:p>
    <w:p>
      <w:pPr>
        <w:spacing w:line="360" w:lineRule="auto"/>
        <w:ind w:firstLine="424" w:firstLineChars="202"/>
        <w:rPr>
          <w:rFonts w:asciiTheme="minorEastAsia" w:hAnsiTheme="minorEastAsia"/>
        </w:rPr>
      </w:pPr>
      <w:r>
        <w:rPr>
          <w:rFonts w:hint="eastAsia" w:asciiTheme="minorEastAsia" w:hAnsiTheme="minorEastAsia"/>
        </w:rPr>
        <w:t>（2）公布在提交响应文件截止时间前提交响应文件的</w:t>
      </w:r>
      <w:r>
        <w:rPr>
          <w:rFonts w:hint="eastAsia" w:asciiTheme="minorEastAsia" w:hAnsiTheme="minorEastAsia"/>
          <w:lang w:eastAsia="zh-CN"/>
        </w:rPr>
        <w:t>响应人</w:t>
      </w:r>
      <w:r>
        <w:rPr>
          <w:rFonts w:hint="eastAsia" w:asciiTheme="minorEastAsia" w:hAnsiTheme="minorEastAsia"/>
        </w:rPr>
        <w:t>名称；</w:t>
      </w:r>
    </w:p>
    <w:p>
      <w:pPr>
        <w:spacing w:line="360" w:lineRule="auto"/>
        <w:ind w:firstLine="424" w:firstLineChars="202"/>
        <w:rPr>
          <w:rFonts w:asciiTheme="minorEastAsia" w:hAnsiTheme="minorEastAsia"/>
        </w:rPr>
      </w:pPr>
      <w:r>
        <w:rPr>
          <w:rFonts w:hint="eastAsia" w:asciiTheme="minorEastAsia" w:hAnsiTheme="minorEastAsia"/>
        </w:rPr>
        <w:t>（3）</w:t>
      </w:r>
      <w:r>
        <w:rPr>
          <w:rFonts w:hint="eastAsia" w:asciiTheme="minorEastAsia" w:hAnsiTheme="minorEastAsia"/>
          <w:lang w:eastAsia="zh-CN"/>
        </w:rPr>
        <w:t>响应人</w:t>
      </w:r>
      <w:r>
        <w:rPr>
          <w:rFonts w:hint="eastAsia" w:asciiTheme="minorEastAsia" w:hAnsiTheme="minorEastAsia"/>
        </w:rPr>
        <w:t>通过电子招标投标交易平台对已提交的电子响应文件进行解密；</w:t>
      </w:r>
    </w:p>
    <w:p>
      <w:pPr>
        <w:spacing w:line="360" w:lineRule="auto"/>
        <w:ind w:firstLine="424" w:firstLineChars="202"/>
        <w:rPr>
          <w:rFonts w:asciiTheme="minorEastAsia" w:hAnsiTheme="minorEastAsia"/>
        </w:rPr>
      </w:pPr>
      <w:r>
        <w:rPr>
          <w:rFonts w:hint="eastAsia" w:asciiTheme="minorEastAsia" w:hAnsiTheme="minorEastAsia"/>
        </w:rPr>
        <w:t>（4）开标结束。</w:t>
      </w:r>
    </w:p>
    <w:p>
      <w:pPr>
        <w:spacing w:line="360" w:lineRule="auto"/>
        <w:ind w:firstLine="424" w:firstLineChars="202"/>
        <w:rPr>
          <w:rFonts w:asciiTheme="minorEastAsia" w:hAnsiTheme="minorEastAsia"/>
        </w:rPr>
      </w:pPr>
      <w:r>
        <w:rPr>
          <w:rFonts w:hint="eastAsia" w:asciiTheme="minorEastAsia" w:hAnsiTheme="minorEastAsia"/>
        </w:rPr>
        <w:t>5.2.2因</w:t>
      </w:r>
      <w:r>
        <w:rPr>
          <w:rFonts w:hint="eastAsia" w:asciiTheme="minorEastAsia" w:hAnsiTheme="minorEastAsia"/>
          <w:lang w:eastAsia="zh-CN"/>
        </w:rPr>
        <w:t>响应人</w:t>
      </w:r>
      <w:r>
        <w:rPr>
          <w:rFonts w:hint="eastAsia" w:asciiTheme="minorEastAsia" w:hAnsiTheme="minorEastAsia"/>
        </w:rPr>
        <w:t>加密电子响应文件未能成功上传或误传而导致的解密失败,响应文件将被拒绝。</w:t>
      </w:r>
    </w:p>
    <w:p>
      <w:pPr>
        <w:pStyle w:val="7"/>
        <w:spacing w:before="0" w:after="0" w:line="360" w:lineRule="auto"/>
        <w:rPr>
          <w:sz w:val="21"/>
        </w:rPr>
      </w:pPr>
      <w:r>
        <w:rPr>
          <w:rFonts w:hint="eastAsia"/>
          <w:sz w:val="21"/>
        </w:rPr>
        <w:t>5.3  开标疑议</w:t>
      </w:r>
    </w:p>
    <w:p>
      <w:pPr>
        <w:spacing w:line="360" w:lineRule="auto"/>
        <w:ind w:firstLine="424" w:firstLineChars="202"/>
      </w:pPr>
      <w:r>
        <w:rPr>
          <w:rFonts w:hint="eastAsia"/>
          <w:lang w:eastAsia="zh-CN"/>
        </w:rPr>
        <w:t>响应人</w:t>
      </w:r>
      <w:r>
        <w:rPr>
          <w:rFonts w:hint="eastAsia"/>
        </w:rPr>
        <w:t>代表对开标过程和开标记录有疑义，以及认为采购人、采购代理机构相关工作人员有需要回避的情形的，应当场提出询问或者回避申请</w:t>
      </w:r>
      <w:r>
        <w:rPr>
          <w:rFonts w:hint="eastAsia" w:asciiTheme="minorEastAsia" w:hAnsiTheme="minorEastAsia"/>
        </w:rPr>
        <w:t>。</w:t>
      </w:r>
      <w:r>
        <w:rPr>
          <w:rFonts w:hint="eastAsia"/>
          <w:lang w:eastAsia="zh-CN"/>
        </w:rPr>
        <w:t>响应人</w:t>
      </w:r>
      <w:r>
        <w:rPr>
          <w:rFonts w:hint="eastAsia"/>
        </w:rPr>
        <w:t>未参加开标的，视同认可开标结果。</w:t>
      </w:r>
    </w:p>
    <w:p>
      <w:pPr>
        <w:pStyle w:val="6"/>
        <w:spacing w:before="0" w:after="0" w:line="360" w:lineRule="auto"/>
        <w:rPr>
          <w:sz w:val="28"/>
        </w:rPr>
      </w:pPr>
      <w:bookmarkStart w:id="9" w:name="_Toc43371480"/>
      <w:r>
        <w:rPr>
          <w:rFonts w:hint="eastAsia"/>
          <w:sz w:val="28"/>
        </w:rPr>
        <w:t>6.  磋商</w:t>
      </w:r>
      <w:bookmarkEnd w:id="9"/>
    </w:p>
    <w:p>
      <w:pPr>
        <w:pStyle w:val="7"/>
        <w:spacing w:before="0" w:after="0" w:line="360" w:lineRule="auto"/>
        <w:rPr>
          <w:sz w:val="21"/>
        </w:rPr>
      </w:pPr>
      <w:r>
        <w:rPr>
          <w:rFonts w:hint="eastAsia"/>
          <w:sz w:val="21"/>
        </w:rPr>
        <w:t>6.1  磋商小组</w:t>
      </w:r>
    </w:p>
    <w:p>
      <w:pPr>
        <w:spacing w:line="360" w:lineRule="auto"/>
        <w:ind w:firstLine="424" w:firstLineChars="202"/>
        <w:rPr>
          <w:rFonts w:asciiTheme="minorEastAsia" w:hAnsiTheme="minorEastAsia"/>
        </w:rPr>
      </w:pPr>
      <w:r>
        <w:rPr>
          <w:rFonts w:hint="eastAsia" w:asciiTheme="minorEastAsia" w:hAnsiTheme="minorEastAsia"/>
        </w:rPr>
        <w:t>6.1.1 磋商会议由采购人依法组建的磋商小组负责。磋商小组由采购人，以及有关技术、经济等方面的专家组成。磋商小组成员人数以及技术、经济等方面专家的确定方式见</w:t>
      </w:r>
      <w:r>
        <w:rPr>
          <w:rFonts w:hint="eastAsia" w:asciiTheme="minorEastAsia" w:hAnsiTheme="minorEastAsia"/>
          <w:lang w:eastAsia="zh-CN"/>
        </w:rPr>
        <w:t>响应人</w:t>
      </w:r>
      <w:r>
        <w:rPr>
          <w:rFonts w:hint="eastAsia" w:asciiTheme="minorEastAsia" w:hAnsiTheme="minorEastAsia"/>
        </w:rPr>
        <w:t>须知前附表。</w:t>
      </w:r>
    </w:p>
    <w:p>
      <w:pPr>
        <w:spacing w:line="360" w:lineRule="auto"/>
        <w:ind w:firstLine="424" w:firstLineChars="202"/>
        <w:rPr>
          <w:rFonts w:asciiTheme="minorEastAsia" w:hAnsiTheme="minorEastAsia"/>
        </w:rPr>
      </w:pPr>
      <w:r>
        <w:rPr>
          <w:rFonts w:hint="eastAsia" w:asciiTheme="minorEastAsia" w:hAnsiTheme="minorEastAsia"/>
        </w:rPr>
        <w:t>6.1.2 磋商小组成员有下列情形之一的，应当回避：</w:t>
      </w:r>
    </w:p>
    <w:p>
      <w:pPr>
        <w:spacing w:line="360" w:lineRule="auto"/>
        <w:ind w:firstLine="424" w:firstLineChars="202"/>
        <w:rPr>
          <w:rFonts w:asciiTheme="minorEastAsia" w:hAnsiTheme="minorEastAsia"/>
        </w:rPr>
      </w:pPr>
      <w:r>
        <w:rPr>
          <w:rFonts w:hint="eastAsia" w:asciiTheme="minorEastAsia" w:hAnsiTheme="minorEastAsia"/>
        </w:rPr>
        <w:t>（1）</w:t>
      </w:r>
      <w:r>
        <w:rPr>
          <w:rFonts w:hint="eastAsia" w:asciiTheme="minorEastAsia" w:hAnsiTheme="minorEastAsia"/>
          <w:lang w:eastAsia="zh-CN"/>
        </w:rPr>
        <w:t>响应人</w:t>
      </w:r>
      <w:r>
        <w:rPr>
          <w:rFonts w:hint="eastAsia" w:asciiTheme="minorEastAsia" w:hAnsiTheme="minorEastAsia"/>
        </w:rPr>
        <w:t>或</w:t>
      </w:r>
      <w:r>
        <w:rPr>
          <w:rFonts w:hint="eastAsia" w:asciiTheme="minorEastAsia" w:hAnsiTheme="minorEastAsia"/>
          <w:lang w:eastAsia="zh-CN"/>
        </w:rPr>
        <w:t>响应人</w:t>
      </w:r>
      <w:r>
        <w:rPr>
          <w:rFonts w:hint="eastAsia" w:asciiTheme="minorEastAsia" w:hAnsiTheme="minorEastAsia"/>
        </w:rPr>
        <w:t>主要负责人的近亲属；</w:t>
      </w:r>
    </w:p>
    <w:p>
      <w:pPr>
        <w:spacing w:line="360" w:lineRule="auto"/>
        <w:ind w:firstLine="424" w:firstLineChars="202"/>
        <w:rPr>
          <w:rFonts w:asciiTheme="minorEastAsia" w:hAnsiTheme="minorEastAsia"/>
        </w:rPr>
      </w:pPr>
      <w:r>
        <w:rPr>
          <w:rFonts w:hint="eastAsia" w:asciiTheme="minorEastAsia" w:hAnsiTheme="minorEastAsia"/>
        </w:rPr>
        <w:t>（2）项目主管部门或者行政监督部门的人员；</w:t>
      </w:r>
    </w:p>
    <w:p>
      <w:pPr>
        <w:spacing w:line="360" w:lineRule="auto"/>
        <w:ind w:firstLine="424" w:firstLineChars="202"/>
        <w:rPr>
          <w:rFonts w:asciiTheme="minorEastAsia" w:hAnsiTheme="minorEastAsia"/>
        </w:rPr>
      </w:pPr>
      <w:r>
        <w:rPr>
          <w:rFonts w:hint="eastAsia" w:asciiTheme="minorEastAsia" w:hAnsiTheme="minorEastAsia"/>
        </w:rPr>
        <w:t>（3）与</w:t>
      </w:r>
      <w:r>
        <w:rPr>
          <w:rFonts w:hint="eastAsia" w:asciiTheme="minorEastAsia" w:hAnsiTheme="minorEastAsia"/>
          <w:lang w:eastAsia="zh-CN"/>
        </w:rPr>
        <w:t>响应人</w:t>
      </w:r>
      <w:r>
        <w:rPr>
          <w:rFonts w:hint="eastAsia" w:asciiTheme="minorEastAsia" w:hAnsiTheme="minorEastAsia"/>
        </w:rPr>
        <w:t>有经济利益关系，可能影响对投标公正评审的；</w:t>
      </w:r>
    </w:p>
    <w:p>
      <w:pPr>
        <w:spacing w:line="360" w:lineRule="auto"/>
        <w:ind w:firstLine="424" w:firstLineChars="202"/>
        <w:rPr>
          <w:rFonts w:asciiTheme="minorEastAsia" w:hAnsiTheme="minorEastAsia"/>
        </w:rPr>
      </w:pPr>
      <w:r>
        <w:rPr>
          <w:rFonts w:hint="eastAsia" w:asciiTheme="minorEastAsia" w:hAnsiTheme="minorEastAsia"/>
        </w:rPr>
        <w:t>（4）曾因在招标、评标以及其他与招标投标有关活动中从事违法行为而受过行政处罚或刑事处罚的；</w:t>
      </w:r>
    </w:p>
    <w:p>
      <w:pPr>
        <w:spacing w:line="360" w:lineRule="auto"/>
        <w:ind w:firstLine="424" w:firstLineChars="202"/>
        <w:rPr>
          <w:rFonts w:asciiTheme="minorEastAsia" w:hAnsiTheme="minorEastAsia"/>
        </w:rPr>
      </w:pPr>
      <w:r>
        <w:rPr>
          <w:rFonts w:hint="eastAsia" w:asciiTheme="minorEastAsia" w:hAnsiTheme="minorEastAsia"/>
        </w:rPr>
        <w:t>（5）与</w:t>
      </w:r>
      <w:r>
        <w:rPr>
          <w:rFonts w:hint="eastAsia" w:asciiTheme="minorEastAsia" w:hAnsiTheme="minorEastAsia"/>
          <w:lang w:eastAsia="zh-CN"/>
        </w:rPr>
        <w:t>响应人</w:t>
      </w:r>
      <w:r>
        <w:rPr>
          <w:rFonts w:hint="eastAsia" w:asciiTheme="minorEastAsia" w:hAnsiTheme="minorEastAsia"/>
        </w:rPr>
        <w:t>有其他利害关系。</w:t>
      </w:r>
    </w:p>
    <w:p>
      <w:pPr>
        <w:spacing w:line="360" w:lineRule="auto"/>
        <w:ind w:firstLine="424" w:firstLineChars="202"/>
        <w:rPr>
          <w:rFonts w:asciiTheme="minorEastAsia" w:hAnsiTheme="minorEastAsia"/>
        </w:rPr>
      </w:pPr>
      <w:r>
        <w:rPr>
          <w:rFonts w:hint="eastAsia" w:asciiTheme="minorEastAsia" w:hAnsiTheme="minorEastAsia"/>
        </w:rPr>
        <w:t>6.1.3 磋商过程中，磋商小组成员有回避事由、擅离职守或者因健康等原因不能继续评审的，采购人有权更换。被更换的磋商小组成员作出的评审结论无效，由更换后的磋商小组成员重新进行评审。</w:t>
      </w:r>
    </w:p>
    <w:p>
      <w:pPr>
        <w:pStyle w:val="7"/>
        <w:spacing w:before="0" w:after="0" w:line="360" w:lineRule="auto"/>
        <w:rPr>
          <w:sz w:val="21"/>
        </w:rPr>
      </w:pPr>
      <w:r>
        <w:rPr>
          <w:rFonts w:hint="eastAsia"/>
          <w:sz w:val="21"/>
        </w:rPr>
        <w:t>6.2  磋商原则</w:t>
      </w:r>
    </w:p>
    <w:p>
      <w:pPr>
        <w:spacing w:line="360" w:lineRule="auto"/>
        <w:ind w:firstLine="424" w:firstLineChars="202"/>
        <w:rPr>
          <w:rFonts w:asciiTheme="minorEastAsia" w:hAnsiTheme="minorEastAsia"/>
        </w:rPr>
      </w:pPr>
      <w:r>
        <w:rPr>
          <w:rFonts w:hint="eastAsia" w:ascii="宋体" w:hAnsi="宋体" w:eastAsia="宋体" w:cs="宋体"/>
          <w:kern w:val="0"/>
          <w:szCs w:val="21"/>
        </w:rPr>
        <w:t>磋商小组成员应当按照客观、公正、审慎的原则，根据磋商文件规定的评审程序、评审方法和评审标准进行独立评审。</w:t>
      </w:r>
    </w:p>
    <w:p>
      <w:pPr>
        <w:pStyle w:val="7"/>
        <w:spacing w:before="0" w:after="0" w:line="360" w:lineRule="auto"/>
        <w:rPr>
          <w:sz w:val="21"/>
        </w:rPr>
      </w:pPr>
      <w:r>
        <w:rPr>
          <w:rFonts w:hint="eastAsia"/>
          <w:sz w:val="21"/>
        </w:rPr>
        <w:t>6.3 评审</w:t>
      </w:r>
    </w:p>
    <w:p>
      <w:pPr>
        <w:spacing w:line="360" w:lineRule="auto"/>
        <w:ind w:firstLine="424" w:firstLineChars="202"/>
        <w:rPr>
          <w:rFonts w:asciiTheme="minorEastAsia" w:hAnsiTheme="minorEastAsia"/>
          <w:b/>
        </w:rPr>
      </w:pPr>
      <w:r>
        <w:rPr>
          <w:rFonts w:hint="eastAsia" w:asciiTheme="minorEastAsia" w:hAnsiTheme="minorEastAsia"/>
        </w:rPr>
        <w:t>6.3.1 磋商小组按照第三章“评标办法”规定的方法、评审因素、标准和程序对响应文件进行评审。</w:t>
      </w:r>
      <w:r>
        <w:rPr>
          <w:rFonts w:hint="eastAsia" w:asciiTheme="minorEastAsia" w:hAnsiTheme="minorEastAsia"/>
          <w:bCs/>
        </w:rPr>
        <w:t>第三章“评标办法”没有规定的方法、评审因素和标准，不作为评标依据。</w:t>
      </w:r>
    </w:p>
    <w:p>
      <w:pPr>
        <w:spacing w:line="360" w:lineRule="auto"/>
        <w:ind w:firstLine="424" w:firstLineChars="202"/>
        <w:rPr>
          <w:rFonts w:asciiTheme="minorEastAsia" w:hAnsiTheme="minorEastAsia"/>
        </w:rPr>
      </w:pPr>
      <w:r>
        <w:rPr>
          <w:rFonts w:hint="eastAsia" w:asciiTheme="minorEastAsia" w:hAnsiTheme="minorEastAsia"/>
        </w:rPr>
        <w:t>6.3.2初步评审</w:t>
      </w:r>
    </w:p>
    <w:p>
      <w:pPr>
        <w:spacing w:line="360" w:lineRule="auto"/>
        <w:ind w:firstLine="424" w:firstLineChars="202"/>
        <w:rPr>
          <w:rFonts w:asciiTheme="minorEastAsia" w:hAnsiTheme="minorEastAsia"/>
        </w:rPr>
      </w:pPr>
      <w:r>
        <w:rPr>
          <w:rFonts w:hint="eastAsia"/>
        </w:rPr>
        <w:t>磋商小组应当对各</w:t>
      </w:r>
      <w:r>
        <w:rPr>
          <w:rFonts w:hint="eastAsia"/>
          <w:lang w:eastAsia="zh-CN"/>
        </w:rPr>
        <w:t>响应人</w:t>
      </w:r>
      <w:r>
        <w:rPr>
          <w:rFonts w:hint="eastAsia"/>
        </w:rPr>
        <w:t>的响应文件进行初步评审，以确定其是否满足竞争性磋商文件的实质性要求，未实质性响应磋商文件的响应文件按无效响应处理。</w:t>
      </w:r>
    </w:p>
    <w:p>
      <w:pPr>
        <w:spacing w:line="360" w:lineRule="auto"/>
        <w:ind w:firstLine="424" w:firstLineChars="202"/>
        <w:rPr>
          <w:rFonts w:asciiTheme="minorEastAsia" w:hAnsiTheme="minorEastAsia"/>
        </w:rPr>
      </w:pPr>
      <w:r>
        <w:rPr>
          <w:rFonts w:hint="eastAsia" w:asciiTheme="minorEastAsia" w:hAnsiTheme="minorEastAsia"/>
        </w:rPr>
        <w:t>6.3.3响应文件的澄清</w:t>
      </w:r>
    </w:p>
    <w:p>
      <w:pPr>
        <w:spacing w:line="360" w:lineRule="auto"/>
        <w:ind w:firstLine="424" w:firstLineChars="202"/>
        <w:rPr>
          <w:rFonts w:asciiTheme="minorEastAsia" w:hAnsiTheme="minorEastAsia"/>
        </w:rPr>
      </w:pPr>
      <w:r>
        <w:rPr>
          <w:rFonts w:hint="eastAsia" w:asciiTheme="minorEastAsia" w:hAnsiTheme="minorEastAsia"/>
        </w:rPr>
        <w:t>磋商小组在对响应文件的有效性、完整性和响应程度进行审查时，可以要求</w:t>
      </w:r>
      <w:r>
        <w:rPr>
          <w:rFonts w:hint="eastAsia" w:asciiTheme="minorEastAsia" w:hAnsiTheme="minorEastAsia"/>
          <w:lang w:eastAsia="zh-CN"/>
        </w:rPr>
        <w:t>响应人</w:t>
      </w:r>
      <w:r>
        <w:rPr>
          <w:rFonts w:hint="eastAsia" w:asciiTheme="minorEastAsia" w:hAnsiTheme="minorEastAsia"/>
        </w:rPr>
        <w:t>对响应文件中含义不明确、同类问题表述不一致或者有明显文字和计算错误的内容等作出必要的澄清、说明或者更正。</w:t>
      </w:r>
      <w:r>
        <w:rPr>
          <w:rFonts w:hint="eastAsia" w:asciiTheme="minorEastAsia" w:hAnsiTheme="minorEastAsia"/>
          <w:lang w:eastAsia="zh-CN"/>
        </w:rPr>
        <w:t>响应人</w:t>
      </w:r>
      <w:r>
        <w:rPr>
          <w:rFonts w:hint="eastAsia" w:asciiTheme="minorEastAsia" w:hAnsiTheme="minorEastAsia"/>
        </w:rPr>
        <w:t>的澄清、说明或者更正不得超出响应文件的范围或者改变响应文件的实质性内容。</w:t>
      </w:r>
    </w:p>
    <w:p>
      <w:pPr>
        <w:spacing w:line="360" w:lineRule="auto"/>
        <w:ind w:firstLine="424" w:firstLineChars="202"/>
        <w:rPr>
          <w:rFonts w:ascii="宋体" w:hAnsi="宋体" w:eastAsia="宋体" w:cs="宋体"/>
          <w:kern w:val="0"/>
          <w:szCs w:val="21"/>
        </w:rPr>
      </w:pPr>
      <w:r>
        <w:rPr>
          <w:rFonts w:hint="eastAsia" w:ascii="宋体" w:hAnsi="宋体" w:eastAsia="宋体" w:cs="宋体"/>
          <w:kern w:val="0"/>
          <w:szCs w:val="21"/>
        </w:rPr>
        <w:t>磋商小组要求</w:t>
      </w:r>
      <w:r>
        <w:rPr>
          <w:rFonts w:hint="eastAsia" w:ascii="宋体" w:hAnsi="宋体" w:eastAsia="宋体" w:cs="宋体"/>
          <w:kern w:val="0"/>
          <w:szCs w:val="21"/>
          <w:lang w:eastAsia="zh-CN"/>
        </w:rPr>
        <w:t>响应人</w:t>
      </w:r>
      <w:r>
        <w:rPr>
          <w:rFonts w:hint="eastAsia" w:ascii="宋体" w:hAnsi="宋体" w:eastAsia="宋体" w:cs="宋体"/>
          <w:kern w:val="0"/>
          <w:szCs w:val="21"/>
        </w:rPr>
        <w:t>澄清、说明或者更正响应文件应当以线上形式作出。</w:t>
      </w:r>
      <w:r>
        <w:rPr>
          <w:rFonts w:hint="eastAsia" w:ascii="宋体" w:hAnsi="宋体" w:eastAsia="宋体" w:cs="宋体"/>
          <w:kern w:val="0"/>
          <w:szCs w:val="21"/>
          <w:lang w:eastAsia="zh-CN"/>
        </w:rPr>
        <w:t>响应人</w:t>
      </w:r>
      <w:r>
        <w:rPr>
          <w:rFonts w:hint="eastAsia" w:ascii="宋体" w:hAnsi="宋体" w:eastAsia="宋体" w:cs="宋体"/>
          <w:kern w:val="0"/>
          <w:szCs w:val="21"/>
        </w:rPr>
        <w:t>的澄清、说明或者更正应当由法定代表人或其授权代表签字或者加盖公章。由授权代表签字的，应当附法定代表人授权书。</w:t>
      </w:r>
      <w:r>
        <w:rPr>
          <w:rFonts w:hint="eastAsia" w:ascii="宋体" w:hAnsi="宋体" w:eastAsia="宋体" w:cs="宋体"/>
          <w:kern w:val="0"/>
          <w:szCs w:val="21"/>
          <w:lang w:eastAsia="zh-CN"/>
        </w:rPr>
        <w:t>响应人</w:t>
      </w:r>
      <w:r>
        <w:rPr>
          <w:rFonts w:hint="eastAsia" w:ascii="宋体" w:hAnsi="宋体" w:eastAsia="宋体" w:cs="宋体"/>
          <w:kern w:val="0"/>
          <w:szCs w:val="21"/>
        </w:rPr>
        <w:t>为自然人的，应当由本人签字并附身份证明。</w:t>
      </w:r>
    </w:p>
    <w:p>
      <w:pPr>
        <w:spacing w:line="360" w:lineRule="auto"/>
        <w:ind w:firstLine="424" w:firstLineChars="202"/>
        <w:rPr>
          <w:rFonts w:asciiTheme="minorEastAsia" w:hAnsiTheme="minorEastAsia"/>
        </w:rPr>
      </w:pPr>
      <w:r>
        <w:rPr>
          <w:rFonts w:hint="eastAsia" w:ascii="宋体" w:hAnsi="宋体" w:eastAsia="宋体" w:cs="宋体"/>
          <w:kern w:val="0"/>
          <w:szCs w:val="21"/>
        </w:rPr>
        <w:t>6.3.4已提交响应文件的</w:t>
      </w:r>
      <w:r>
        <w:rPr>
          <w:rFonts w:hint="eastAsia" w:ascii="宋体" w:hAnsi="宋体" w:eastAsia="宋体" w:cs="宋体"/>
          <w:kern w:val="0"/>
          <w:szCs w:val="21"/>
          <w:lang w:eastAsia="zh-CN"/>
        </w:rPr>
        <w:t>响应人</w:t>
      </w:r>
      <w:r>
        <w:rPr>
          <w:rFonts w:hint="eastAsia" w:ascii="宋体" w:hAnsi="宋体" w:eastAsia="宋体" w:cs="宋体"/>
          <w:kern w:val="0"/>
          <w:szCs w:val="21"/>
        </w:rPr>
        <w:t>，在提交最后报价之前，可以根据磋商情况退出磋商。</w:t>
      </w:r>
    </w:p>
    <w:p>
      <w:pPr>
        <w:spacing w:line="360" w:lineRule="auto"/>
        <w:ind w:firstLine="424" w:firstLineChars="202"/>
        <w:rPr>
          <w:rFonts w:asciiTheme="minorEastAsia" w:hAnsiTheme="minorEastAsia"/>
        </w:rPr>
      </w:pPr>
      <w:r>
        <w:rPr>
          <w:rFonts w:asciiTheme="minorEastAsia" w:hAnsiTheme="minorEastAsia"/>
          <w:color w:val="auto"/>
        </w:rPr>
        <w:t>6.3.5</w:t>
      </w:r>
      <w:r>
        <w:rPr>
          <w:rFonts w:hint="eastAsia" w:asciiTheme="minorEastAsia" w:hAnsiTheme="minorEastAsia"/>
          <w:color w:val="auto"/>
        </w:rPr>
        <w:t>磋商过程中，磋商小组可以根据磋商情况实质性变动采购需求中的技术、服务要求以及合同草案条款，但不得变动磋商文件中的其他内容。实质性变动的内容需经采购人代表确认，并以线上形式通知所有参加磋商的</w:t>
      </w:r>
      <w:r>
        <w:rPr>
          <w:rFonts w:hint="eastAsia" w:asciiTheme="minorEastAsia" w:hAnsiTheme="minorEastAsia"/>
          <w:color w:val="auto"/>
          <w:lang w:eastAsia="zh-CN"/>
        </w:rPr>
        <w:t>响应人</w:t>
      </w:r>
      <w:r>
        <w:rPr>
          <w:rFonts w:hint="eastAsia" w:asciiTheme="minorEastAsia" w:hAnsiTheme="minorEastAsia"/>
          <w:color w:val="auto"/>
        </w:rPr>
        <w:t>，该变动是磋商文件的有效组成部分。若磋商小组没有实质性变动采购需求中的技术、服务要求以及合同草案条款，则</w:t>
      </w:r>
      <w:r>
        <w:rPr>
          <w:rFonts w:hint="eastAsia" w:asciiTheme="minorEastAsia" w:hAnsiTheme="minorEastAsia"/>
          <w:color w:val="auto"/>
          <w:lang w:eastAsia="zh-CN"/>
        </w:rPr>
        <w:t>响应人</w:t>
      </w:r>
      <w:r>
        <w:rPr>
          <w:rFonts w:hint="eastAsia" w:asciiTheme="minorEastAsia" w:hAnsiTheme="minorEastAsia"/>
          <w:color w:val="auto"/>
        </w:rPr>
        <w:t>的最后</w:t>
      </w:r>
      <w:r>
        <w:rPr>
          <w:rFonts w:hint="eastAsia" w:asciiTheme="minorEastAsia" w:hAnsiTheme="minorEastAsia"/>
        </w:rPr>
        <w:t>报价不得高于首次报价，否则按废标处理。</w:t>
      </w:r>
    </w:p>
    <w:p>
      <w:pPr>
        <w:spacing w:line="360" w:lineRule="auto"/>
        <w:ind w:firstLine="424" w:firstLineChars="202"/>
        <w:rPr>
          <w:rFonts w:asciiTheme="minorEastAsia" w:hAnsiTheme="minorEastAsia"/>
        </w:rPr>
      </w:pPr>
      <w:r>
        <w:rPr>
          <w:rFonts w:asciiTheme="minorEastAsia" w:hAnsiTheme="minorEastAsia"/>
        </w:rPr>
        <w:t>6.3.6</w:t>
      </w:r>
      <w:r>
        <w:rPr>
          <w:rFonts w:hint="eastAsia" w:asciiTheme="minorEastAsia" w:hAnsiTheme="minorEastAsia"/>
          <w:lang w:eastAsia="zh-CN"/>
        </w:rPr>
        <w:t>响应人</w:t>
      </w:r>
      <w:r>
        <w:rPr>
          <w:rFonts w:hint="eastAsia" w:asciiTheme="minorEastAsia" w:hAnsiTheme="minorEastAsia"/>
        </w:rPr>
        <w:t>只有通过初步评审后方可进入第二轮报价，在规定的时间内通过交易平台提交报价，则第二轮报价则为最终报价，</w:t>
      </w:r>
      <w:r>
        <w:rPr>
          <w:rFonts w:hint="eastAsia" w:asciiTheme="minorEastAsia" w:hAnsiTheme="minorEastAsia"/>
          <w:lang w:val="en-US" w:eastAsia="zh-CN"/>
        </w:rPr>
        <w:t>(</w:t>
      </w:r>
      <w:r>
        <w:rPr>
          <w:rFonts w:hint="eastAsia" w:asciiTheme="minorEastAsia" w:hAnsiTheme="minorEastAsia"/>
        </w:rPr>
        <w:t>响应人如在交易平台系统规定时间内二次报价没有提交成功的，</w:t>
      </w:r>
      <w:r>
        <w:rPr>
          <w:rFonts w:hint="eastAsia" w:asciiTheme="minorEastAsia" w:hAnsiTheme="minorEastAsia"/>
          <w:lang w:val="en-US" w:eastAsia="zh-CN"/>
        </w:rPr>
        <w:t>以</w:t>
      </w:r>
      <w:r>
        <w:rPr>
          <w:rFonts w:hint="eastAsia" w:asciiTheme="minorEastAsia" w:hAnsiTheme="minorEastAsia"/>
        </w:rPr>
        <w:t>第一次报价视为最终报价）。依据最终提交的报价进行评审，最终报价不得超过响应文件中报价。</w:t>
      </w:r>
      <w:r>
        <w:rPr>
          <w:rFonts w:hint="eastAsia" w:asciiTheme="minorEastAsia" w:hAnsiTheme="minorEastAsia"/>
          <w:lang w:eastAsia="zh-CN"/>
        </w:rPr>
        <w:t>响应人</w:t>
      </w:r>
      <w:r>
        <w:rPr>
          <w:rFonts w:hint="eastAsia" w:asciiTheme="minorEastAsia" w:hAnsiTheme="minorEastAsia"/>
        </w:rPr>
        <w:t>若为监狱企业（视同小型、微型企业）的价格扣除6%、残疾人福利性单位企业（视同小型、微型企业）的价格扣除6%、若为小型、微型企业</w:t>
      </w:r>
      <w:r>
        <w:rPr>
          <w:rFonts w:hint="eastAsia" w:asciiTheme="minorEastAsia" w:hAnsiTheme="minorEastAsia"/>
          <w:lang w:eastAsia="zh-CN"/>
        </w:rPr>
        <w:t>响应人</w:t>
      </w:r>
      <w:r>
        <w:rPr>
          <w:rFonts w:hint="eastAsia" w:asciiTheme="minorEastAsia" w:hAnsiTheme="minorEastAsia"/>
        </w:rPr>
        <w:t>的投标价格给予6%的扣除，如有价格扣除，按价格扣除后计算，不做为签订合同的依据。【中小企业应当列明本项目中所投“小型和微型企业产品清单”并提供由企业所在地的县级以上中小企业主管部门出具的中小企业认定证书或《中小企业声明函》等有效证明材料，否则不予认可；监狱企业参加政府采购活动时，应当提供由省级以上监狱管理局、戒毒管理局(含新疆生产建设兵团)出具的属于监狱企业的证明文件，否则不予认可；若为自主创新产品、残疾人福利性单位企业需在响应文件中提供证明文件，否则不予认可。】</w:t>
      </w:r>
    </w:p>
    <w:p>
      <w:pPr>
        <w:spacing w:line="360" w:lineRule="auto"/>
        <w:ind w:firstLine="424" w:firstLineChars="202"/>
        <w:rPr>
          <w:rFonts w:asciiTheme="minorEastAsia" w:hAnsiTheme="minorEastAsia"/>
        </w:rPr>
      </w:pPr>
      <w:r>
        <w:rPr>
          <w:rFonts w:asciiTheme="minorEastAsia" w:hAnsiTheme="minorEastAsia"/>
        </w:rPr>
        <w:t xml:space="preserve">6.3.7 </w:t>
      </w:r>
      <w:r>
        <w:rPr>
          <w:rFonts w:hint="eastAsia" w:asciiTheme="minorEastAsia" w:hAnsiTheme="minorEastAsia"/>
        </w:rPr>
        <w:t>经磋商确定最终采购需求，由磋商小组采用综合评分法对通过初步评审的</w:t>
      </w:r>
      <w:r>
        <w:rPr>
          <w:rFonts w:hint="eastAsia" w:asciiTheme="minorEastAsia" w:hAnsiTheme="minorEastAsia"/>
          <w:lang w:eastAsia="zh-CN"/>
        </w:rPr>
        <w:t>响应人</w:t>
      </w:r>
      <w:r>
        <w:rPr>
          <w:rFonts w:hint="eastAsia" w:asciiTheme="minorEastAsia" w:hAnsiTheme="minorEastAsia"/>
        </w:rPr>
        <w:t>的响应文件进行综合评分。</w:t>
      </w:r>
    </w:p>
    <w:p>
      <w:pPr>
        <w:spacing w:line="360" w:lineRule="auto"/>
        <w:ind w:firstLine="424" w:firstLineChars="202"/>
        <w:rPr>
          <w:rFonts w:asciiTheme="minorEastAsia" w:hAnsiTheme="minorEastAsia"/>
        </w:rPr>
      </w:pPr>
      <w:r>
        <w:rPr>
          <w:rFonts w:asciiTheme="minorEastAsia" w:hAnsiTheme="minorEastAsia"/>
        </w:rPr>
        <w:t>6.3.8</w:t>
      </w:r>
      <w:r>
        <w:rPr>
          <w:rFonts w:hint="eastAsia" w:asciiTheme="minorEastAsia" w:hAnsiTheme="minorEastAsia"/>
        </w:rPr>
        <w:t>评审完成后，磋商小组应当向采购人提交书面评标报告和成交候选人名单。磋商小组推荐成交候选人数量见</w:t>
      </w:r>
      <w:r>
        <w:rPr>
          <w:rFonts w:hint="eastAsia" w:asciiTheme="minorEastAsia" w:hAnsiTheme="minorEastAsia"/>
          <w:lang w:eastAsia="zh-CN"/>
        </w:rPr>
        <w:t>响应人</w:t>
      </w:r>
      <w:r>
        <w:rPr>
          <w:rFonts w:hint="eastAsia" w:asciiTheme="minorEastAsia" w:hAnsiTheme="minorEastAsia"/>
        </w:rPr>
        <w:t>须知前附表。</w:t>
      </w:r>
    </w:p>
    <w:p>
      <w:pPr>
        <w:pStyle w:val="7"/>
        <w:spacing w:before="0" w:after="0"/>
        <w:rPr>
          <w:sz w:val="21"/>
        </w:rPr>
      </w:pPr>
      <w:r>
        <w:rPr>
          <w:rFonts w:hint="eastAsia"/>
          <w:sz w:val="21"/>
        </w:rPr>
        <w:t>6.4 无效响应</w:t>
      </w:r>
    </w:p>
    <w:p>
      <w:pPr>
        <w:spacing w:line="360" w:lineRule="auto"/>
        <w:ind w:firstLine="420"/>
      </w:pPr>
      <w:r>
        <w:rPr>
          <w:rFonts w:hint="eastAsia"/>
        </w:rPr>
        <w:t>如发现下列情况之一的，其投标将被认定为无效响应：</w:t>
      </w:r>
    </w:p>
    <w:p>
      <w:pPr>
        <w:spacing w:line="360" w:lineRule="auto"/>
        <w:ind w:firstLine="420"/>
      </w:pPr>
      <w:r>
        <w:rPr>
          <w:rFonts w:hint="eastAsia"/>
        </w:rPr>
        <w:t>（1）未按照竞争性磋商文件规定要求签署、盖章的；</w:t>
      </w:r>
    </w:p>
    <w:p>
      <w:pPr>
        <w:spacing w:line="360" w:lineRule="auto"/>
        <w:ind w:firstLine="420"/>
      </w:pPr>
      <w:r>
        <w:rPr>
          <w:rFonts w:hint="eastAsia"/>
        </w:rPr>
        <w:t>（2）属于串通投标，或者依法被视为串通投标；</w:t>
      </w:r>
    </w:p>
    <w:p>
      <w:pPr>
        <w:spacing w:line="360" w:lineRule="auto"/>
        <w:ind w:firstLine="420"/>
      </w:pPr>
      <w:r>
        <w:rPr>
          <w:rFonts w:hint="eastAsia"/>
        </w:rPr>
        <w:t>（3）磋商小组认为</w:t>
      </w:r>
      <w:r>
        <w:rPr>
          <w:rFonts w:hint="eastAsia"/>
          <w:lang w:eastAsia="zh-CN"/>
        </w:rPr>
        <w:t>响应人</w:t>
      </w:r>
      <w:r>
        <w:rPr>
          <w:rFonts w:hint="eastAsia"/>
        </w:rPr>
        <w:t>的报价明显低于其他通过符合性审查</w:t>
      </w:r>
      <w:r>
        <w:rPr>
          <w:rFonts w:hint="eastAsia"/>
          <w:lang w:eastAsia="zh-CN"/>
        </w:rPr>
        <w:t>响应人</w:t>
      </w:r>
      <w:r>
        <w:rPr>
          <w:rFonts w:hint="eastAsia"/>
        </w:rPr>
        <w:t>的报价，有可能影响履约的，且</w:t>
      </w:r>
      <w:r>
        <w:rPr>
          <w:rFonts w:hint="eastAsia"/>
          <w:lang w:eastAsia="zh-CN"/>
        </w:rPr>
        <w:t>响应人</w:t>
      </w:r>
      <w:r>
        <w:rPr>
          <w:rFonts w:hint="eastAsia"/>
        </w:rPr>
        <w:t>未按照规定证明其报价合理性的；</w:t>
      </w:r>
    </w:p>
    <w:p>
      <w:pPr>
        <w:spacing w:line="360" w:lineRule="auto"/>
        <w:ind w:firstLine="420"/>
      </w:pPr>
      <w:r>
        <w:rPr>
          <w:rFonts w:hint="eastAsia"/>
        </w:rPr>
        <w:t>（4）响应文件含有采购人不能接受的附加条件的；</w:t>
      </w:r>
    </w:p>
    <w:p>
      <w:pPr>
        <w:spacing w:line="360" w:lineRule="auto"/>
        <w:ind w:firstLine="420"/>
      </w:pPr>
      <w:r>
        <w:rPr>
          <w:rFonts w:hint="eastAsia"/>
        </w:rPr>
        <w:t>（5）</w:t>
      </w:r>
      <w:r>
        <w:rPr>
          <w:rFonts w:hint="eastAsia" w:asciiTheme="minorEastAsia" w:hAnsiTheme="minorEastAsia"/>
          <w:kern w:val="0"/>
          <w:szCs w:val="21"/>
        </w:rPr>
        <w:t>响应文件制作机器码与其他</w:t>
      </w:r>
      <w:r>
        <w:rPr>
          <w:rFonts w:hint="eastAsia" w:asciiTheme="minorEastAsia" w:hAnsiTheme="minorEastAsia"/>
          <w:kern w:val="0"/>
          <w:szCs w:val="21"/>
          <w:lang w:eastAsia="zh-CN"/>
        </w:rPr>
        <w:t>响应人</w:t>
      </w:r>
      <w:r>
        <w:rPr>
          <w:rFonts w:hint="eastAsia" w:asciiTheme="minorEastAsia" w:hAnsiTheme="minorEastAsia"/>
          <w:kern w:val="0"/>
          <w:szCs w:val="21"/>
        </w:rPr>
        <w:t>的响应文件制作机器码一致；</w:t>
      </w:r>
    </w:p>
    <w:p>
      <w:pPr>
        <w:spacing w:line="360" w:lineRule="auto"/>
        <w:ind w:firstLine="420"/>
      </w:pPr>
      <w:r>
        <w:rPr>
          <w:rFonts w:hint="eastAsia"/>
        </w:rPr>
        <w:t>（6）不符合法规和竞争性磋商文件中规定的其他实质性要求的。</w:t>
      </w:r>
    </w:p>
    <w:p>
      <w:pPr>
        <w:pStyle w:val="6"/>
        <w:spacing w:before="0" w:after="0" w:line="360" w:lineRule="auto"/>
        <w:rPr>
          <w:sz w:val="24"/>
        </w:rPr>
      </w:pPr>
      <w:bookmarkStart w:id="10" w:name="_Toc43371481"/>
      <w:r>
        <w:rPr>
          <w:rFonts w:hint="eastAsia"/>
          <w:sz w:val="24"/>
        </w:rPr>
        <w:t>7.  合同授予</w:t>
      </w:r>
      <w:bookmarkEnd w:id="10"/>
    </w:p>
    <w:p>
      <w:pPr>
        <w:pStyle w:val="7"/>
        <w:spacing w:before="0" w:after="0" w:line="360" w:lineRule="auto"/>
        <w:rPr>
          <w:sz w:val="24"/>
        </w:rPr>
      </w:pPr>
      <w:r>
        <w:rPr>
          <w:rFonts w:hint="eastAsia"/>
          <w:sz w:val="24"/>
        </w:rPr>
        <w:t>7.1  成交公告</w:t>
      </w:r>
    </w:p>
    <w:p>
      <w:pPr>
        <w:spacing w:line="360" w:lineRule="auto"/>
        <w:ind w:firstLine="424" w:firstLineChars="202"/>
        <w:rPr>
          <w:rFonts w:asciiTheme="minorEastAsia" w:hAnsiTheme="minorEastAsia"/>
        </w:rPr>
      </w:pPr>
      <w:r>
        <w:rPr>
          <w:rFonts w:hint="eastAsia" w:asciiTheme="minorEastAsia" w:hAnsiTheme="minorEastAsia"/>
        </w:rPr>
        <w:t>采购人或者采购代理机构自成交人确定之日起2个工作日内，在省级以上财政部门指定的媒体上公告成交结果，竞争性磋商文件随成交结果同时公告，成交公告期限为1个工作日。</w:t>
      </w:r>
    </w:p>
    <w:p>
      <w:pPr>
        <w:pStyle w:val="7"/>
        <w:spacing w:before="0" w:after="0" w:line="360" w:lineRule="auto"/>
        <w:rPr>
          <w:sz w:val="21"/>
        </w:rPr>
      </w:pPr>
      <w:r>
        <w:rPr>
          <w:rFonts w:hint="eastAsia"/>
          <w:sz w:val="21"/>
        </w:rPr>
        <w:t>7.2 质疑与投诉</w:t>
      </w:r>
    </w:p>
    <w:p>
      <w:pPr>
        <w:spacing w:line="360" w:lineRule="auto"/>
        <w:ind w:firstLine="424" w:firstLineChars="202"/>
        <w:rPr>
          <w:rFonts w:asciiTheme="minorEastAsia" w:hAnsiTheme="minorEastAsia"/>
        </w:rPr>
      </w:pPr>
      <w:r>
        <w:rPr>
          <w:rFonts w:hint="eastAsia" w:asciiTheme="minorEastAsia" w:hAnsiTheme="minorEastAsia"/>
        </w:rPr>
        <w:t>7.2.1</w:t>
      </w:r>
      <w:r>
        <w:rPr>
          <w:rFonts w:hint="eastAsia" w:asciiTheme="minorEastAsia" w:hAnsiTheme="minorEastAsia"/>
          <w:lang w:eastAsia="zh-CN"/>
        </w:rPr>
        <w:t>响应人</w:t>
      </w:r>
      <w:r>
        <w:rPr>
          <w:rFonts w:hint="eastAsia" w:asciiTheme="minorEastAsia" w:hAnsiTheme="minorEastAsia"/>
        </w:rPr>
        <w:t>认为竞争性磋商文件、采购过程和成交、成交结果使自己的权益受到损害的，可以在知道或者应知其权益受到损害之日起七个工作日内，以书面形式（不接受邮寄、电报、电传、传真、电子数据交换和电子邮件）向采购代理机构提出质疑。（格式见本章附件1）</w:t>
      </w:r>
    </w:p>
    <w:p>
      <w:pPr>
        <w:spacing w:line="360" w:lineRule="auto"/>
        <w:ind w:firstLine="424" w:firstLineChars="202"/>
        <w:rPr>
          <w:rFonts w:asciiTheme="minorEastAsia" w:hAnsiTheme="minorEastAsia"/>
        </w:rPr>
      </w:pPr>
      <w:r>
        <w:rPr>
          <w:rFonts w:hint="eastAsia" w:asciiTheme="minorEastAsia" w:hAnsiTheme="minorEastAsia"/>
        </w:rPr>
        <w:t>7.2.2</w:t>
      </w:r>
      <w:r>
        <w:rPr>
          <w:rFonts w:hint="eastAsia" w:asciiTheme="minorEastAsia" w:hAnsiTheme="minorEastAsia"/>
          <w:lang w:eastAsia="zh-CN"/>
        </w:rPr>
        <w:t>响应人</w:t>
      </w:r>
      <w:r>
        <w:rPr>
          <w:rFonts w:hint="eastAsia" w:asciiTheme="minorEastAsia" w:hAnsiTheme="minorEastAsia"/>
        </w:rPr>
        <w:t>应知其权益受到损害之日，是指：</w:t>
      </w:r>
    </w:p>
    <w:p>
      <w:pPr>
        <w:spacing w:line="360" w:lineRule="auto"/>
        <w:ind w:firstLine="424" w:firstLineChars="202"/>
        <w:rPr>
          <w:rFonts w:asciiTheme="minorEastAsia" w:hAnsiTheme="minorEastAsia"/>
        </w:rPr>
      </w:pPr>
      <w:r>
        <w:rPr>
          <w:rFonts w:hint="eastAsia" w:asciiTheme="minorEastAsia" w:hAnsiTheme="minorEastAsia"/>
        </w:rPr>
        <w:t>（1）对可以质疑的竞争性磋商文件提出质疑的，为收到采购文件之日或者采购文件公告期限届满之日；</w:t>
      </w:r>
    </w:p>
    <w:p>
      <w:pPr>
        <w:spacing w:line="360" w:lineRule="auto"/>
        <w:ind w:firstLine="424" w:firstLineChars="202"/>
        <w:rPr>
          <w:rFonts w:asciiTheme="minorEastAsia" w:hAnsiTheme="minorEastAsia"/>
        </w:rPr>
      </w:pPr>
      <w:r>
        <w:rPr>
          <w:rFonts w:hint="eastAsia" w:asciiTheme="minorEastAsia" w:hAnsiTheme="minorEastAsia"/>
        </w:rPr>
        <w:t>（2）对采购过程提出质疑的，为各采购程序环节结束之日；</w:t>
      </w:r>
    </w:p>
    <w:p>
      <w:pPr>
        <w:spacing w:line="360" w:lineRule="auto"/>
        <w:ind w:firstLine="424" w:firstLineChars="202"/>
        <w:rPr>
          <w:rFonts w:asciiTheme="minorEastAsia" w:hAnsiTheme="minorEastAsia"/>
        </w:rPr>
      </w:pPr>
      <w:r>
        <w:rPr>
          <w:rFonts w:hint="eastAsia" w:asciiTheme="minorEastAsia" w:hAnsiTheme="minorEastAsia"/>
        </w:rPr>
        <w:t>（3）对成交或者成交结果提出质疑的，为成交或者成交结果公告期限届满之日。</w:t>
      </w:r>
    </w:p>
    <w:p>
      <w:pPr>
        <w:spacing w:line="360" w:lineRule="auto"/>
        <w:ind w:firstLine="424" w:firstLineChars="202"/>
        <w:rPr>
          <w:rFonts w:asciiTheme="minorEastAsia" w:hAnsiTheme="minorEastAsia"/>
        </w:rPr>
      </w:pPr>
      <w:r>
        <w:rPr>
          <w:rFonts w:hint="eastAsia" w:asciiTheme="minorEastAsia" w:hAnsiTheme="minorEastAsia"/>
        </w:rPr>
        <w:t>7.2.3质疑</w:t>
      </w:r>
      <w:r>
        <w:rPr>
          <w:rFonts w:hint="eastAsia" w:asciiTheme="minorEastAsia" w:hAnsiTheme="minorEastAsia"/>
          <w:lang w:eastAsia="zh-CN"/>
        </w:rPr>
        <w:t>响应人</w:t>
      </w:r>
      <w:r>
        <w:rPr>
          <w:rFonts w:hint="eastAsia" w:asciiTheme="minorEastAsia" w:hAnsiTheme="minorEastAsia"/>
        </w:rPr>
        <w:t>应按照财政部制定的《政府采购质疑函范本》格式（可从财政部官方网站下载）或本章附件1格式及《政府采购质疑和投诉办法》的要求，在本章7.2.1、7.2.2款要求时间内以书面形式提出质疑，针对同一采购程序环节的质疑次数应符合</w:t>
      </w:r>
      <w:r>
        <w:rPr>
          <w:rFonts w:hint="eastAsia" w:asciiTheme="minorEastAsia" w:hAnsiTheme="minorEastAsia"/>
          <w:lang w:eastAsia="zh-CN"/>
        </w:rPr>
        <w:t>响应人</w:t>
      </w:r>
      <w:r>
        <w:rPr>
          <w:rFonts w:hint="eastAsia" w:asciiTheme="minorEastAsia" w:hAnsiTheme="minorEastAsia"/>
        </w:rPr>
        <w:t>须知前附表的规定。</w:t>
      </w:r>
    </w:p>
    <w:p>
      <w:pPr>
        <w:spacing w:line="360" w:lineRule="auto"/>
        <w:ind w:firstLine="424" w:firstLineChars="202"/>
        <w:rPr>
          <w:rFonts w:asciiTheme="minorEastAsia" w:hAnsiTheme="minorEastAsia"/>
        </w:rPr>
      </w:pPr>
      <w:r>
        <w:rPr>
          <w:rFonts w:hint="eastAsia" w:asciiTheme="minorEastAsia" w:hAnsiTheme="minorEastAsia"/>
        </w:rPr>
        <w:t>7.2.4 超出法定质疑期提交的质疑将被拒绝。重复或分次提出的、内容或形式不符合《政府采购质疑和投诉办法》的，质疑</w:t>
      </w:r>
      <w:r>
        <w:rPr>
          <w:rFonts w:hint="eastAsia" w:asciiTheme="minorEastAsia" w:hAnsiTheme="minorEastAsia"/>
          <w:lang w:eastAsia="zh-CN"/>
        </w:rPr>
        <w:t>响应人</w:t>
      </w:r>
      <w:r>
        <w:rPr>
          <w:rFonts w:hint="eastAsia" w:asciiTheme="minorEastAsia" w:hAnsiTheme="minorEastAsia"/>
        </w:rPr>
        <w:t>将依法承担不利后果。</w:t>
      </w:r>
    </w:p>
    <w:p>
      <w:pPr>
        <w:spacing w:line="360" w:lineRule="auto"/>
        <w:ind w:firstLine="424" w:firstLineChars="202"/>
        <w:rPr>
          <w:rFonts w:asciiTheme="minorEastAsia" w:hAnsiTheme="minorEastAsia"/>
        </w:rPr>
      </w:pPr>
      <w:r>
        <w:rPr>
          <w:rFonts w:hint="eastAsia" w:asciiTheme="minorEastAsia" w:hAnsiTheme="minorEastAsia"/>
        </w:rPr>
        <w:t>7.2.5质疑函接收部门、联系电话和通讯地址, 见</w:t>
      </w:r>
      <w:r>
        <w:rPr>
          <w:rFonts w:hint="eastAsia" w:asciiTheme="minorEastAsia" w:hAnsiTheme="minorEastAsia"/>
          <w:lang w:eastAsia="zh-CN"/>
        </w:rPr>
        <w:t>响应人</w:t>
      </w:r>
      <w:r>
        <w:rPr>
          <w:rFonts w:hint="eastAsia" w:asciiTheme="minorEastAsia" w:hAnsiTheme="minorEastAsia"/>
        </w:rPr>
        <w:t>须知前附表。</w:t>
      </w:r>
    </w:p>
    <w:p>
      <w:pPr>
        <w:spacing w:line="360" w:lineRule="auto"/>
        <w:ind w:firstLine="424" w:firstLineChars="202"/>
        <w:rPr>
          <w:rFonts w:asciiTheme="minorEastAsia" w:hAnsiTheme="minorEastAsia"/>
        </w:rPr>
      </w:pPr>
      <w:r>
        <w:rPr>
          <w:rFonts w:hint="eastAsia" w:asciiTheme="minorEastAsia" w:hAnsiTheme="minorEastAsia"/>
        </w:rPr>
        <w:t>7.2.6采购人或采购代理机构在收到</w:t>
      </w:r>
      <w:r>
        <w:rPr>
          <w:rFonts w:hint="eastAsia" w:asciiTheme="minorEastAsia" w:hAnsiTheme="minorEastAsia"/>
          <w:lang w:eastAsia="zh-CN"/>
        </w:rPr>
        <w:t>响应人</w:t>
      </w:r>
      <w:r>
        <w:rPr>
          <w:rFonts w:hint="eastAsia" w:asciiTheme="minorEastAsia" w:hAnsiTheme="minorEastAsia"/>
        </w:rPr>
        <w:t>的书面质疑后七个工作日内作出答复，并以书面形式通知质疑</w:t>
      </w:r>
      <w:r>
        <w:rPr>
          <w:rFonts w:hint="eastAsia" w:asciiTheme="minorEastAsia" w:hAnsiTheme="minorEastAsia"/>
          <w:lang w:eastAsia="zh-CN"/>
        </w:rPr>
        <w:t>响应人</w:t>
      </w:r>
      <w:r>
        <w:rPr>
          <w:rFonts w:hint="eastAsia" w:asciiTheme="minorEastAsia" w:hAnsiTheme="minorEastAsia"/>
        </w:rPr>
        <w:t>和其他有关</w:t>
      </w:r>
      <w:r>
        <w:rPr>
          <w:rFonts w:hint="eastAsia" w:asciiTheme="minorEastAsia" w:hAnsiTheme="minorEastAsia"/>
          <w:lang w:eastAsia="zh-CN"/>
        </w:rPr>
        <w:t>响应人</w:t>
      </w:r>
      <w:r>
        <w:rPr>
          <w:rFonts w:hint="eastAsia" w:asciiTheme="minorEastAsia" w:hAnsiTheme="minorEastAsia"/>
        </w:rPr>
        <w:t>，答复内容不涉及商业秘密。</w:t>
      </w:r>
    </w:p>
    <w:p>
      <w:pPr>
        <w:pStyle w:val="7"/>
        <w:spacing w:before="0" w:after="0" w:line="360" w:lineRule="auto"/>
        <w:rPr>
          <w:sz w:val="21"/>
        </w:rPr>
      </w:pPr>
      <w:r>
        <w:rPr>
          <w:rFonts w:hint="eastAsia"/>
          <w:sz w:val="21"/>
        </w:rPr>
        <w:t>7.3  成交通知书</w:t>
      </w:r>
    </w:p>
    <w:p>
      <w:pPr>
        <w:spacing w:line="360" w:lineRule="auto"/>
        <w:ind w:firstLine="424" w:firstLineChars="202"/>
        <w:rPr>
          <w:rFonts w:asciiTheme="minorEastAsia" w:hAnsiTheme="minorEastAsia"/>
        </w:rPr>
      </w:pPr>
      <w:r>
        <w:rPr>
          <w:rFonts w:hint="eastAsia" w:asciiTheme="minorEastAsia" w:hAnsiTheme="minorEastAsia"/>
        </w:rPr>
        <w:t>成交通知书发出后，采购人不得违法改变成交结果，成交人无正当理由不得放弃成交。</w:t>
      </w:r>
    </w:p>
    <w:p>
      <w:pPr>
        <w:pStyle w:val="7"/>
        <w:spacing w:before="0" w:after="0" w:line="360" w:lineRule="auto"/>
        <w:rPr>
          <w:sz w:val="21"/>
        </w:rPr>
      </w:pPr>
      <w:r>
        <w:rPr>
          <w:rFonts w:hint="eastAsia"/>
          <w:sz w:val="21"/>
        </w:rPr>
        <w:t>7.4  签订合同</w:t>
      </w:r>
    </w:p>
    <w:p>
      <w:pPr>
        <w:spacing w:line="360" w:lineRule="auto"/>
        <w:ind w:firstLine="424" w:firstLineChars="202"/>
        <w:rPr>
          <w:rFonts w:asciiTheme="minorEastAsia" w:hAnsiTheme="minorEastAsia"/>
        </w:rPr>
      </w:pPr>
      <w:r>
        <w:rPr>
          <w:rFonts w:hint="eastAsia" w:asciiTheme="minorEastAsia" w:hAnsiTheme="minorEastAsia"/>
        </w:rPr>
        <w:t>7.4.1 采购人和成交人应当在成交通知书发出之日起 30 日内，根据竞争性磋商文件和成交人的响应文件订立书面合同。成交人无正当理由拒签合同，在签订合同时向采购人提出附加条件，或者不按照竞争性磋商文件要求提交履约保证金的，采购人有权取消其成交资格。</w:t>
      </w:r>
    </w:p>
    <w:p>
      <w:pPr>
        <w:spacing w:line="360" w:lineRule="auto"/>
        <w:ind w:firstLine="424" w:firstLineChars="202"/>
        <w:rPr>
          <w:rFonts w:asciiTheme="minorEastAsia" w:hAnsiTheme="minorEastAsia"/>
        </w:rPr>
      </w:pPr>
      <w:r>
        <w:rPr>
          <w:rFonts w:hint="eastAsia" w:asciiTheme="minorEastAsia" w:hAnsiTheme="minorEastAsia"/>
        </w:rPr>
        <w:t>7.4.2采购人不得向成交人提出任何不合理的要求作为签订合同的条件。</w:t>
      </w:r>
    </w:p>
    <w:p>
      <w:pPr>
        <w:spacing w:line="360" w:lineRule="auto"/>
        <w:ind w:firstLine="424" w:firstLineChars="202"/>
        <w:rPr>
          <w:rFonts w:asciiTheme="minorEastAsia" w:hAnsiTheme="minorEastAsia"/>
        </w:rPr>
      </w:pPr>
      <w:r>
        <w:rPr>
          <w:rFonts w:hint="eastAsia" w:asciiTheme="minorEastAsia" w:hAnsiTheme="minorEastAsia"/>
        </w:rPr>
        <w:t>7.4.3 联合体成交的，联合体各方应当共同与采购人签订合同，就成交项目向采购人承担连 带责任。</w:t>
      </w:r>
    </w:p>
    <w:p>
      <w:pPr>
        <w:pStyle w:val="7"/>
        <w:spacing w:before="0" w:after="0"/>
        <w:rPr>
          <w:sz w:val="21"/>
        </w:rPr>
      </w:pPr>
      <w:r>
        <w:rPr>
          <w:rFonts w:hint="eastAsia"/>
          <w:sz w:val="21"/>
        </w:rPr>
        <w:t>7.5履约保证金</w:t>
      </w:r>
    </w:p>
    <w:p>
      <w:pPr>
        <w:spacing w:line="360" w:lineRule="auto"/>
        <w:ind w:firstLine="420" w:firstLineChars="200"/>
        <w:rPr>
          <w:rFonts w:asciiTheme="minorEastAsia" w:hAnsiTheme="minorEastAsia"/>
        </w:rPr>
      </w:pPr>
      <w:r>
        <w:rPr>
          <w:rFonts w:hint="eastAsia" w:asciiTheme="minorEastAsia" w:hAnsiTheme="minorEastAsia"/>
        </w:rPr>
        <w:t>7.5.1如果需要履约保证金，成交</w:t>
      </w:r>
      <w:r>
        <w:rPr>
          <w:rFonts w:hint="eastAsia" w:asciiTheme="minorEastAsia" w:hAnsiTheme="minorEastAsia"/>
          <w:lang w:eastAsia="zh-CN"/>
        </w:rPr>
        <w:t>响应人</w:t>
      </w:r>
      <w:r>
        <w:rPr>
          <w:rFonts w:hint="eastAsia" w:asciiTheme="minorEastAsia" w:hAnsiTheme="minorEastAsia"/>
        </w:rPr>
        <w:t>应按照</w:t>
      </w:r>
      <w:r>
        <w:rPr>
          <w:rFonts w:hint="eastAsia" w:asciiTheme="minorEastAsia" w:hAnsiTheme="minorEastAsia"/>
          <w:lang w:eastAsia="zh-CN"/>
        </w:rPr>
        <w:t>响应人</w:t>
      </w:r>
      <w:r>
        <w:rPr>
          <w:rFonts w:hint="eastAsia" w:asciiTheme="minorEastAsia" w:hAnsiTheme="minorEastAsia"/>
        </w:rPr>
        <w:t>须知前附表规定向采购人提交履约保证金保函（如格式见本章附件2）。经采购人同意，成交人也可以自愿采用其他履约保证金的提供方式。</w:t>
      </w:r>
    </w:p>
    <w:p>
      <w:pPr>
        <w:spacing w:line="360" w:lineRule="auto"/>
        <w:ind w:firstLine="420" w:firstLineChars="200"/>
        <w:rPr>
          <w:rFonts w:asciiTheme="minorEastAsia" w:hAnsiTheme="minorEastAsia"/>
        </w:rPr>
      </w:pPr>
      <w:r>
        <w:rPr>
          <w:rFonts w:hint="eastAsia" w:asciiTheme="minorEastAsia" w:hAnsiTheme="minorEastAsia"/>
        </w:rPr>
        <w:t>7.5.2政府采购利用担保试点范围内的项目，除31.1规定的情形外，成交人也可以按照财政部门的规定，向采购人提供合格的履约担保函（格式见本章附件3）。</w:t>
      </w:r>
    </w:p>
    <w:p>
      <w:pPr>
        <w:spacing w:line="360" w:lineRule="auto"/>
        <w:ind w:firstLine="420" w:firstLineChars="200"/>
        <w:rPr>
          <w:rFonts w:asciiTheme="minorEastAsia" w:hAnsiTheme="minorEastAsia"/>
        </w:rPr>
      </w:pPr>
      <w:r>
        <w:rPr>
          <w:rFonts w:hint="eastAsia" w:asciiTheme="minorEastAsia" w:hAnsiTheme="minorEastAsia"/>
        </w:rPr>
        <w:t>7.5.3如果成交人没有按照上述履约保证金的规定执行，将被视为放弃成交资格，成交人须按磋商保证承诺书的承诺向采购人和采购代理机构支付赔偿。在此情况下，采购人可确定下一候选人为成交人，也可以重新开展采购活动。</w:t>
      </w:r>
    </w:p>
    <w:p>
      <w:pPr>
        <w:pStyle w:val="7"/>
        <w:spacing w:before="0" w:after="0"/>
        <w:rPr>
          <w:sz w:val="21"/>
        </w:rPr>
      </w:pPr>
      <w:r>
        <w:rPr>
          <w:rFonts w:hint="eastAsia"/>
          <w:sz w:val="21"/>
        </w:rPr>
        <w:t>7.6 预付款</w:t>
      </w:r>
    </w:p>
    <w:p>
      <w:pPr>
        <w:spacing w:line="360" w:lineRule="auto"/>
        <w:ind w:firstLine="420"/>
      </w:pPr>
      <w:r>
        <w:rPr>
          <w:rFonts w:hint="eastAsia" w:asciiTheme="minorEastAsia" w:hAnsiTheme="minorEastAsia"/>
        </w:rPr>
        <w:t>7.6.1预付款是在指政府采购合同签订后、履行前，采购人向成交人预先支付部分</w:t>
      </w:r>
      <w:r>
        <w:rPr>
          <w:rFonts w:hint="eastAsia"/>
        </w:rPr>
        <w:t>合同款项。</w:t>
      </w:r>
    </w:p>
    <w:p>
      <w:pPr>
        <w:spacing w:line="360" w:lineRule="auto"/>
        <w:ind w:firstLine="420"/>
        <w:rPr>
          <w:rFonts w:asciiTheme="minorEastAsia" w:hAnsiTheme="minorEastAsia"/>
        </w:rPr>
      </w:pPr>
      <w:r>
        <w:rPr>
          <w:rFonts w:hint="eastAsia" w:asciiTheme="minorEastAsia" w:hAnsiTheme="minorEastAsia"/>
        </w:rPr>
        <w:t>7.6.2如采购人要求，成交人在收到预付款前，需向采购人提供预付款保函。预付款保函是指成交</w:t>
      </w:r>
      <w:r>
        <w:rPr>
          <w:rFonts w:hint="eastAsia" w:asciiTheme="minorEastAsia" w:hAnsiTheme="minorEastAsia"/>
          <w:lang w:eastAsia="zh-CN"/>
        </w:rPr>
        <w:t>响应人</w:t>
      </w:r>
      <w:r>
        <w:rPr>
          <w:rFonts w:hint="eastAsia" w:asciiTheme="minorEastAsia" w:hAnsiTheme="minorEastAsia"/>
        </w:rPr>
        <w:t>向银行或者有资质的专业的担保机构申请，由其向采购人出具的确保预付款直接或者间接用于政府采购合同履约或者保障政府采购履约质量的银行保函或者担保保函等。</w:t>
      </w:r>
    </w:p>
    <w:p>
      <w:pPr>
        <w:pStyle w:val="7"/>
        <w:spacing w:before="0" w:after="0"/>
        <w:rPr>
          <w:sz w:val="21"/>
        </w:rPr>
      </w:pPr>
      <w:r>
        <w:rPr>
          <w:rFonts w:hint="eastAsia"/>
          <w:sz w:val="21"/>
        </w:rPr>
        <w:t>7.7 政府采购信用担保</w:t>
      </w:r>
    </w:p>
    <w:p>
      <w:pPr>
        <w:spacing w:line="360" w:lineRule="auto"/>
        <w:ind w:firstLine="420" w:firstLineChars="200"/>
        <w:rPr>
          <w:rFonts w:asciiTheme="minorEastAsia" w:hAnsiTheme="minorEastAsia"/>
        </w:rPr>
      </w:pPr>
      <w:r>
        <w:rPr>
          <w:rFonts w:hint="eastAsia" w:asciiTheme="minorEastAsia" w:hAnsiTheme="minorEastAsia"/>
        </w:rPr>
        <w:t>7.7.1本项目是否属于信用担保试点范围见</w:t>
      </w:r>
      <w:r>
        <w:rPr>
          <w:rFonts w:hint="eastAsia" w:asciiTheme="minorEastAsia" w:hAnsiTheme="minorEastAsia"/>
          <w:lang w:eastAsia="zh-CN"/>
        </w:rPr>
        <w:t>响应人</w:t>
      </w:r>
      <w:r>
        <w:rPr>
          <w:rFonts w:hint="eastAsia" w:asciiTheme="minorEastAsia" w:hAnsiTheme="minorEastAsia"/>
        </w:rPr>
        <w:t>须知前附表。</w:t>
      </w:r>
    </w:p>
    <w:p>
      <w:pPr>
        <w:spacing w:line="360" w:lineRule="auto"/>
        <w:ind w:firstLine="420" w:firstLineChars="200"/>
        <w:rPr>
          <w:rFonts w:asciiTheme="minorEastAsia" w:hAnsiTheme="minorEastAsia"/>
        </w:rPr>
      </w:pPr>
      <w:r>
        <w:rPr>
          <w:rFonts w:hint="eastAsia" w:asciiTheme="minorEastAsia" w:hAnsiTheme="minorEastAsia"/>
        </w:rPr>
        <w:t>7.7.2如属于政府采购信用担保试点范围内，中小型企业</w:t>
      </w:r>
      <w:r>
        <w:rPr>
          <w:rFonts w:hint="eastAsia" w:asciiTheme="minorEastAsia" w:hAnsiTheme="minorEastAsia"/>
          <w:lang w:eastAsia="zh-CN"/>
        </w:rPr>
        <w:t>响应人</w:t>
      </w:r>
      <w:r>
        <w:rPr>
          <w:rFonts w:hint="eastAsia" w:asciiTheme="minorEastAsia" w:hAnsiTheme="minorEastAsia"/>
        </w:rPr>
        <w:t>可以自由按照财政部门的规定，采用履约担保和融资担保。</w:t>
      </w:r>
    </w:p>
    <w:p>
      <w:pPr>
        <w:spacing w:line="360" w:lineRule="auto"/>
        <w:ind w:firstLine="420" w:firstLineChars="200"/>
        <w:rPr>
          <w:rFonts w:asciiTheme="minorEastAsia" w:hAnsiTheme="minorEastAsia"/>
        </w:rPr>
      </w:pPr>
      <w:r>
        <w:rPr>
          <w:rFonts w:hint="eastAsia" w:asciiTheme="minorEastAsia" w:hAnsiTheme="minorEastAsia"/>
        </w:rPr>
        <w:t>（1）</w:t>
      </w:r>
      <w:r>
        <w:rPr>
          <w:rFonts w:hint="eastAsia" w:asciiTheme="minorEastAsia" w:hAnsiTheme="minorEastAsia"/>
          <w:lang w:eastAsia="zh-CN"/>
        </w:rPr>
        <w:t>响应人</w:t>
      </w:r>
      <w:r>
        <w:rPr>
          <w:rFonts w:hint="eastAsia" w:asciiTheme="minorEastAsia" w:hAnsiTheme="minorEastAsia"/>
        </w:rPr>
        <w:t>提交的履约担保函应符合本竞争性磋商文件的规定。</w:t>
      </w:r>
    </w:p>
    <w:p>
      <w:pPr>
        <w:spacing w:line="360" w:lineRule="auto"/>
        <w:ind w:firstLine="420" w:firstLineChars="200"/>
        <w:rPr>
          <w:rFonts w:asciiTheme="minorEastAsia" w:hAnsiTheme="minorEastAsia"/>
        </w:rPr>
      </w:pPr>
      <w:r>
        <w:rPr>
          <w:rFonts w:hint="eastAsia" w:asciiTheme="minorEastAsia" w:hAnsiTheme="minorEastAsia"/>
        </w:rPr>
        <w:t>（2）成交</w:t>
      </w:r>
      <w:r>
        <w:rPr>
          <w:rFonts w:hint="eastAsia" w:asciiTheme="minorEastAsia" w:hAnsiTheme="minorEastAsia"/>
          <w:lang w:eastAsia="zh-CN"/>
        </w:rPr>
        <w:t>响应人</w:t>
      </w:r>
      <w:r>
        <w:rPr>
          <w:rFonts w:hint="eastAsia" w:asciiTheme="minorEastAsia" w:hAnsiTheme="minorEastAsia"/>
        </w:rPr>
        <w:t>可以采取融资担保的形式为政府采购项目履约进行融资。</w:t>
      </w:r>
    </w:p>
    <w:p>
      <w:pPr>
        <w:spacing w:line="360" w:lineRule="auto"/>
        <w:ind w:firstLine="420" w:firstLineChars="200"/>
        <w:rPr>
          <w:rFonts w:asciiTheme="minorEastAsia" w:hAnsiTheme="minorEastAsia"/>
        </w:rPr>
      </w:pPr>
      <w:r>
        <w:rPr>
          <w:rFonts w:hint="eastAsia" w:asciiTheme="minorEastAsia" w:hAnsiTheme="minorEastAsia"/>
        </w:rPr>
        <w:t>（3）合格的政府采购专业信用担保机构见</w:t>
      </w:r>
      <w:r>
        <w:rPr>
          <w:rFonts w:hint="eastAsia" w:asciiTheme="minorEastAsia" w:hAnsiTheme="minorEastAsia"/>
          <w:lang w:eastAsia="zh-CN"/>
        </w:rPr>
        <w:t>响应人</w:t>
      </w:r>
      <w:r>
        <w:rPr>
          <w:rFonts w:hint="eastAsia" w:asciiTheme="minorEastAsia" w:hAnsiTheme="minorEastAsia"/>
        </w:rPr>
        <w:t>须知前附表。</w:t>
      </w:r>
    </w:p>
    <w:p>
      <w:pPr>
        <w:pStyle w:val="6"/>
        <w:spacing w:before="0" w:after="0" w:line="360" w:lineRule="auto"/>
        <w:rPr>
          <w:sz w:val="24"/>
        </w:rPr>
      </w:pPr>
      <w:bookmarkStart w:id="11" w:name="_Toc43371482"/>
      <w:r>
        <w:rPr>
          <w:rFonts w:hint="eastAsia"/>
          <w:sz w:val="24"/>
        </w:rPr>
        <w:t>8.纪律和监督</w:t>
      </w:r>
      <w:bookmarkEnd w:id="11"/>
    </w:p>
    <w:p>
      <w:pPr>
        <w:pStyle w:val="7"/>
        <w:spacing w:before="0" w:after="0" w:line="360" w:lineRule="auto"/>
        <w:rPr>
          <w:sz w:val="21"/>
        </w:rPr>
      </w:pPr>
      <w:r>
        <w:rPr>
          <w:rFonts w:hint="eastAsia"/>
          <w:sz w:val="21"/>
        </w:rPr>
        <w:t>8.1 对采购人的纪律要求</w:t>
      </w:r>
    </w:p>
    <w:p>
      <w:pPr>
        <w:spacing w:line="360" w:lineRule="auto"/>
        <w:ind w:firstLine="424" w:firstLineChars="202"/>
        <w:rPr>
          <w:rFonts w:asciiTheme="minorEastAsia" w:hAnsiTheme="minorEastAsia"/>
        </w:rPr>
      </w:pPr>
      <w:r>
        <w:rPr>
          <w:rFonts w:hint="eastAsia" w:asciiTheme="minorEastAsia" w:hAnsiTheme="minorEastAsia"/>
        </w:rPr>
        <w:t>采购人不得泄露招标投标活动中应当保密的情况和资料，不得与</w:t>
      </w:r>
      <w:r>
        <w:rPr>
          <w:rFonts w:hint="eastAsia" w:asciiTheme="minorEastAsia" w:hAnsiTheme="minorEastAsia"/>
          <w:lang w:eastAsia="zh-CN"/>
        </w:rPr>
        <w:t>响应人</w:t>
      </w:r>
      <w:r>
        <w:rPr>
          <w:rFonts w:hint="eastAsia" w:asciiTheme="minorEastAsia" w:hAnsiTheme="minorEastAsia"/>
        </w:rPr>
        <w:t>串通损害国家利益、社会公共利益或者他人合法权益。</w:t>
      </w:r>
    </w:p>
    <w:p>
      <w:pPr>
        <w:pStyle w:val="7"/>
        <w:spacing w:before="0" w:after="0" w:line="360" w:lineRule="auto"/>
        <w:rPr>
          <w:sz w:val="21"/>
        </w:rPr>
      </w:pPr>
      <w:r>
        <w:rPr>
          <w:rFonts w:hint="eastAsia"/>
          <w:sz w:val="21"/>
        </w:rPr>
        <w:t>8.2 对</w:t>
      </w:r>
      <w:r>
        <w:rPr>
          <w:rFonts w:hint="eastAsia"/>
          <w:sz w:val="21"/>
          <w:lang w:eastAsia="zh-CN"/>
        </w:rPr>
        <w:t>响应人</w:t>
      </w:r>
      <w:r>
        <w:rPr>
          <w:rFonts w:hint="eastAsia"/>
          <w:sz w:val="21"/>
        </w:rPr>
        <w:t>的纪律要求</w:t>
      </w:r>
    </w:p>
    <w:p>
      <w:pPr>
        <w:spacing w:line="360" w:lineRule="auto"/>
        <w:ind w:firstLine="424" w:firstLineChars="202"/>
        <w:rPr>
          <w:rFonts w:asciiTheme="minorEastAsia" w:hAnsiTheme="minorEastAsia"/>
        </w:rPr>
      </w:pPr>
      <w:r>
        <w:rPr>
          <w:rFonts w:hint="eastAsia" w:asciiTheme="minorEastAsia" w:hAnsiTheme="minorEastAsia"/>
          <w:lang w:eastAsia="zh-CN"/>
        </w:rPr>
        <w:t>响应人</w:t>
      </w:r>
      <w:r>
        <w:rPr>
          <w:rFonts w:hint="eastAsia" w:asciiTheme="minorEastAsia" w:hAnsiTheme="minorEastAsia"/>
        </w:rPr>
        <w:t>不得相互串通投标或者与采购人串通投标，不得向采购人或者磋商小组成员行贿 谋取成交，不得以他人名义投标或者以其他方式弄虚作假骗取成交；</w:t>
      </w:r>
      <w:r>
        <w:rPr>
          <w:rFonts w:hint="eastAsia" w:asciiTheme="minorEastAsia" w:hAnsiTheme="minorEastAsia"/>
          <w:lang w:eastAsia="zh-CN"/>
        </w:rPr>
        <w:t>响应人</w:t>
      </w:r>
      <w:r>
        <w:rPr>
          <w:rFonts w:hint="eastAsia" w:asciiTheme="minorEastAsia" w:hAnsiTheme="minorEastAsia"/>
        </w:rPr>
        <w:t>不得以任何方式干 扰、影响评标工作。</w:t>
      </w:r>
    </w:p>
    <w:p>
      <w:pPr>
        <w:pStyle w:val="7"/>
        <w:spacing w:before="0" w:after="0" w:line="360" w:lineRule="auto"/>
        <w:rPr>
          <w:sz w:val="21"/>
        </w:rPr>
      </w:pPr>
      <w:r>
        <w:rPr>
          <w:rFonts w:hint="eastAsia"/>
          <w:sz w:val="21"/>
        </w:rPr>
        <w:t>8.3 对磋商小组成员的纪律要求</w:t>
      </w:r>
    </w:p>
    <w:p>
      <w:pPr>
        <w:spacing w:line="360" w:lineRule="auto"/>
        <w:ind w:firstLine="424" w:firstLineChars="202"/>
        <w:rPr>
          <w:rFonts w:asciiTheme="minorEastAsia" w:hAnsiTheme="minorEastAsia"/>
        </w:rPr>
      </w:pPr>
      <w:r>
        <w:rPr>
          <w:rFonts w:hint="eastAsia" w:asciiTheme="minorEastAsia" w:hAnsiTheme="minorEastAsia"/>
        </w:rPr>
        <w:t>磋商小组成员不得收受他人的财物或者其他好处，不得向他人透露对响应文件的评审和 比较、成交候选人的推荐情况以及评标有关的其他情况。在评标活动中，磋商小组成员应当 客观、公正地履行职责，遵守职业道德，不得擅离职守，影响评标程序正常进行，</w:t>
      </w:r>
      <w:r>
        <w:rPr>
          <w:rFonts w:hint="eastAsia" w:asciiTheme="minorEastAsia" w:hAnsiTheme="minorEastAsia"/>
          <w:b/>
        </w:rPr>
        <w:t>不得使用第三章“评标办法”没有规定的评审因素和标准进行评标。</w:t>
      </w:r>
    </w:p>
    <w:p>
      <w:pPr>
        <w:pStyle w:val="7"/>
        <w:spacing w:before="0" w:after="0" w:line="360" w:lineRule="auto"/>
        <w:rPr>
          <w:sz w:val="21"/>
        </w:rPr>
      </w:pPr>
      <w:r>
        <w:rPr>
          <w:rFonts w:hint="eastAsia"/>
          <w:sz w:val="21"/>
        </w:rPr>
        <w:t>8.4 对与评标活动有关的工作人员的纪律要求</w:t>
      </w:r>
    </w:p>
    <w:p>
      <w:pPr>
        <w:spacing w:line="360" w:lineRule="auto"/>
        <w:ind w:firstLine="424" w:firstLineChars="202"/>
        <w:rPr>
          <w:rFonts w:asciiTheme="minorEastAsia" w:hAnsiTheme="minorEastAsia"/>
        </w:rPr>
      </w:pPr>
      <w:r>
        <w:rPr>
          <w:rFonts w:hint="eastAsia" w:asciiTheme="minorEastAsia" w:hAnsiTheme="minorEastAsia"/>
        </w:rPr>
        <w:t>与评标活动有关的工作人员不得收受他人的财物或者其他好处，不得向他人透露对响应文件的评审和比较、成交候选人的推荐情况以及评标有关的其他情况。在评标活动中，与评标活 动有关的工作人员不得擅离职守，影响评标程序正常进行。</w:t>
      </w:r>
    </w:p>
    <w:p>
      <w:pPr>
        <w:pStyle w:val="6"/>
        <w:spacing w:before="0" w:after="0" w:line="360" w:lineRule="auto"/>
        <w:rPr>
          <w:sz w:val="24"/>
        </w:rPr>
      </w:pPr>
      <w:bookmarkStart w:id="12" w:name="_Toc43371483"/>
      <w:r>
        <w:rPr>
          <w:rFonts w:hint="eastAsia"/>
          <w:sz w:val="24"/>
        </w:rPr>
        <w:t>9.  是否采用电子招标投标</w:t>
      </w:r>
      <w:bookmarkEnd w:id="12"/>
    </w:p>
    <w:p>
      <w:pPr>
        <w:spacing w:line="360" w:lineRule="auto"/>
        <w:ind w:firstLine="424" w:firstLineChars="202"/>
        <w:rPr>
          <w:rFonts w:asciiTheme="minorEastAsia" w:hAnsiTheme="minorEastAsia"/>
        </w:rPr>
      </w:pPr>
      <w:r>
        <w:rPr>
          <w:rFonts w:hint="eastAsia" w:asciiTheme="minorEastAsia" w:hAnsiTheme="minorEastAsia"/>
        </w:rPr>
        <w:t>本招标项目是否采用电子招标投标方式，见</w:t>
      </w:r>
      <w:r>
        <w:rPr>
          <w:rFonts w:hint="eastAsia" w:asciiTheme="minorEastAsia" w:hAnsiTheme="minorEastAsia"/>
          <w:lang w:eastAsia="zh-CN"/>
        </w:rPr>
        <w:t>响应人</w:t>
      </w:r>
      <w:r>
        <w:rPr>
          <w:rFonts w:hint="eastAsia" w:asciiTheme="minorEastAsia" w:hAnsiTheme="minorEastAsia"/>
        </w:rPr>
        <w:t>须知前附表。</w:t>
      </w:r>
    </w:p>
    <w:p>
      <w:pPr>
        <w:pStyle w:val="6"/>
        <w:spacing w:before="0" w:after="0" w:line="360" w:lineRule="auto"/>
        <w:rPr>
          <w:sz w:val="24"/>
        </w:rPr>
      </w:pPr>
      <w:bookmarkStart w:id="13" w:name="_Toc43371484"/>
      <w:r>
        <w:rPr>
          <w:rFonts w:hint="eastAsia"/>
          <w:sz w:val="24"/>
        </w:rPr>
        <w:t>10.  需要补充的其他内容</w:t>
      </w:r>
      <w:bookmarkEnd w:id="13"/>
    </w:p>
    <w:p>
      <w:pPr>
        <w:spacing w:line="360" w:lineRule="auto"/>
        <w:ind w:firstLine="424" w:firstLineChars="202"/>
        <w:rPr>
          <w:rFonts w:asciiTheme="minorEastAsia" w:hAnsiTheme="minorEastAsia"/>
        </w:rPr>
      </w:pPr>
      <w:r>
        <w:rPr>
          <w:rFonts w:hint="eastAsia" w:asciiTheme="minorEastAsia" w:hAnsiTheme="minorEastAsia"/>
        </w:rPr>
        <w:t>需要补充的其他内容：见</w:t>
      </w:r>
      <w:r>
        <w:rPr>
          <w:rFonts w:hint="eastAsia" w:asciiTheme="minorEastAsia" w:hAnsiTheme="minorEastAsia"/>
          <w:lang w:eastAsia="zh-CN"/>
        </w:rPr>
        <w:t>响应人</w:t>
      </w:r>
      <w:r>
        <w:rPr>
          <w:rFonts w:hint="eastAsia" w:asciiTheme="minorEastAsia" w:hAnsiTheme="minorEastAsia"/>
        </w:rPr>
        <w:t>须知前附表。</w:t>
      </w:r>
    </w:p>
    <w:p>
      <w:pPr>
        <w:widowControl/>
        <w:jc w:val="left"/>
        <w:rPr>
          <w:rFonts w:asciiTheme="minorEastAsia" w:hAnsiTheme="minorEastAsia"/>
        </w:rPr>
      </w:pPr>
      <w:r>
        <w:rPr>
          <w:rFonts w:asciiTheme="minorEastAsia" w:hAnsiTheme="minorEastAsia"/>
        </w:rPr>
        <w:br w:type="page"/>
      </w:r>
    </w:p>
    <w:p>
      <w:pPr>
        <w:pStyle w:val="6"/>
        <w:spacing w:before="0" w:after="0"/>
        <w:rPr>
          <w:sz w:val="24"/>
        </w:rPr>
      </w:pPr>
      <w:bookmarkStart w:id="14" w:name="_Toc43371485"/>
      <w:r>
        <w:rPr>
          <w:rFonts w:hint="eastAsia"/>
          <w:sz w:val="24"/>
        </w:rPr>
        <w:t>附件1：质疑函格式（统一格式，需提供原件）</w:t>
      </w:r>
      <w:bookmarkEnd w:id="14"/>
    </w:p>
    <w:p>
      <w:pPr>
        <w:pStyle w:val="2"/>
        <w:jc w:val="center"/>
        <w:rPr>
          <w:rFonts w:asciiTheme="minorEastAsia" w:hAnsiTheme="minorEastAsia" w:eastAsiaTheme="minorEastAsia"/>
          <w:b/>
          <w:color w:val="auto"/>
          <w:sz w:val="32"/>
          <w:szCs w:val="32"/>
        </w:rPr>
      </w:pPr>
      <w:r>
        <w:rPr>
          <w:rFonts w:hint="eastAsia" w:asciiTheme="minorEastAsia" w:hAnsiTheme="minorEastAsia" w:eastAsiaTheme="minorEastAsia"/>
          <w:b/>
          <w:color w:val="auto"/>
          <w:sz w:val="32"/>
          <w:szCs w:val="32"/>
        </w:rPr>
        <w:t>质 疑 函</w:t>
      </w:r>
    </w:p>
    <w:p>
      <w:pPr>
        <w:pStyle w:val="2"/>
        <w:numPr>
          <w:ilvl w:val="0"/>
          <w:numId w:val="3"/>
        </w:numPr>
        <w:spacing w:line="480" w:lineRule="auto"/>
        <w:rPr>
          <w:rFonts w:asciiTheme="minorEastAsia" w:hAnsiTheme="minorEastAsia" w:eastAsiaTheme="minorEastAsia"/>
          <w:color w:val="auto"/>
          <w:szCs w:val="23"/>
        </w:rPr>
      </w:pPr>
      <w:r>
        <w:rPr>
          <w:rFonts w:hint="eastAsia" w:asciiTheme="minorEastAsia" w:hAnsiTheme="minorEastAsia" w:eastAsiaTheme="minorEastAsia"/>
          <w:color w:val="auto"/>
          <w:szCs w:val="23"/>
        </w:rPr>
        <w:t>质疑</w:t>
      </w:r>
      <w:r>
        <w:rPr>
          <w:rFonts w:hint="eastAsia" w:asciiTheme="minorEastAsia" w:hAnsiTheme="minorEastAsia" w:eastAsiaTheme="minorEastAsia"/>
          <w:color w:val="auto"/>
          <w:szCs w:val="23"/>
          <w:lang w:eastAsia="zh-CN"/>
        </w:rPr>
        <w:t>响应人</w:t>
      </w:r>
      <w:r>
        <w:rPr>
          <w:rFonts w:hint="eastAsia" w:asciiTheme="minorEastAsia" w:hAnsiTheme="minorEastAsia" w:eastAsiaTheme="minorEastAsia"/>
          <w:color w:val="auto"/>
          <w:szCs w:val="23"/>
        </w:rPr>
        <w:t>基本信息</w:t>
      </w:r>
    </w:p>
    <w:p>
      <w:pPr>
        <w:pStyle w:val="2"/>
        <w:spacing w:line="480" w:lineRule="auto"/>
        <w:rPr>
          <w:rFonts w:asciiTheme="minorEastAsia" w:hAnsiTheme="minorEastAsia" w:eastAsiaTheme="minorEastAsia"/>
          <w:color w:val="auto"/>
          <w:szCs w:val="23"/>
        </w:rPr>
      </w:pPr>
    </w:p>
    <w:p>
      <w:pPr>
        <w:pStyle w:val="2"/>
        <w:spacing w:line="480" w:lineRule="auto"/>
        <w:rPr>
          <w:rFonts w:asciiTheme="minorEastAsia" w:hAnsiTheme="minorEastAsia" w:eastAsiaTheme="minorEastAsia"/>
          <w:color w:val="auto"/>
          <w:szCs w:val="23"/>
        </w:rPr>
      </w:pPr>
      <w:r>
        <w:rPr>
          <w:rFonts w:hint="eastAsia" w:asciiTheme="minorEastAsia" w:hAnsiTheme="minorEastAsia" w:eastAsiaTheme="minorEastAsia"/>
          <w:color w:val="auto"/>
          <w:szCs w:val="23"/>
        </w:rPr>
        <w:t>质疑</w:t>
      </w:r>
      <w:r>
        <w:rPr>
          <w:rFonts w:hint="eastAsia" w:asciiTheme="minorEastAsia" w:hAnsiTheme="minorEastAsia" w:eastAsiaTheme="minorEastAsia"/>
          <w:color w:val="auto"/>
          <w:szCs w:val="23"/>
          <w:lang w:eastAsia="zh-CN"/>
        </w:rPr>
        <w:t>响应人</w:t>
      </w:r>
      <w:r>
        <w:rPr>
          <w:rFonts w:hint="eastAsia" w:asciiTheme="minorEastAsia" w:hAnsiTheme="minorEastAsia" w:eastAsiaTheme="minorEastAsia"/>
          <w:color w:val="auto"/>
          <w:szCs w:val="23"/>
        </w:rPr>
        <w:t>：</w:t>
      </w:r>
    </w:p>
    <w:p>
      <w:pPr>
        <w:pStyle w:val="2"/>
        <w:spacing w:line="480" w:lineRule="auto"/>
        <w:rPr>
          <w:rFonts w:asciiTheme="minorEastAsia" w:hAnsiTheme="minorEastAsia" w:eastAsiaTheme="minorEastAsia"/>
          <w:color w:val="auto"/>
          <w:szCs w:val="23"/>
        </w:rPr>
      </w:pPr>
      <w:r>
        <w:rPr>
          <w:rFonts w:hint="eastAsia" w:asciiTheme="minorEastAsia" w:hAnsiTheme="minorEastAsia" w:eastAsiaTheme="minorEastAsia"/>
          <w:color w:val="auto"/>
          <w:szCs w:val="23"/>
        </w:rPr>
        <w:t>地址：邮编：</w:t>
      </w:r>
    </w:p>
    <w:p>
      <w:pPr>
        <w:pStyle w:val="2"/>
        <w:spacing w:line="480" w:lineRule="auto"/>
        <w:rPr>
          <w:rFonts w:asciiTheme="minorEastAsia" w:hAnsiTheme="minorEastAsia" w:eastAsiaTheme="minorEastAsia"/>
          <w:color w:val="auto"/>
          <w:szCs w:val="23"/>
        </w:rPr>
      </w:pPr>
      <w:r>
        <w:rPr>
          <w:rFonts w:hint="eastAsia" w:asciiTheme="minorEastAsia" w:hAnsiTheme="minorEastAsia" w:eastAsiaTheme="minorEastAsia"/>
          <w:color w:val="auto"/>
          <w:szCs w:val="23"/>
        </w:rPr>
        <w:t>联系人：联系电话：</w:t>
      </w:r>
    </w:p>
    <w:p>
      <w:pPr>
        <w:pStyle w:val="2"/>
        <w:spacing w:line="480" w:lineRule="auto"/>
        <w:rPr>
          <w:rFonts w:asciiTheme="minorEastAsia" w:hAnsiTheme="minorEastAsia" w:eastAsiaTheme="minorEastAsia"/>
          <w:color w:val="auto"/>
          <w:szCs w:val="23"/>
        </w:rPr>
      </w:pPr>
      <w:r>
        <w:rPr>
          <w:rFonts w:hint="eastAsia" w:asciiTheme="minorEastAsia" w:hAnsiTheme="minorEastAsia" w:eastAsiaTheme="minorEastAsia"/>
          <w:color w:val="auto"/>
          <w:szCs w:val="23"/>
        </w:rPr>
        <w:t>授权代表：</w:t>
      </w:r>
    </w:p>
    <w:p>
      <w:pPr>
        <w:pStyle w:val="2"/>
        <w:spacing w:line="480" w:lineRule="auto"/>
        <w:rPr>
          <w:rFonts w:asciiTheme="minorEastAsia" w:hAnsiTheme="minorEastAsia" w:eastAsiaTheme="minorEastAsia"/>
          <w:color w:val="auto"/>
          <w:szCs w:val="23"/>
        </w:rPr>
      </w:pPr>
      <w:r>
        <w:rPr>
          <w:rFonts w:hint="eastAsia" w:asciiTheme="minorEastAsia" w:hAnsiTheme="minorEastAsia" w:eastAsiaTheme="minorEastAsia"/>
          <w:color w:val="auto"/>
          <w:szCs w:val="23"/>
        </w:rPr>
        <w:t>联系电话：</w:t>
      </w:r>
    </w:p>
    <w:p>
      <w:pPr>
        <w:pStyle w:val="2"/>
        <w:spacing w:line="480" w:lineRule="auto"/>
        <w:rPr>
          <w:rFonts w:asciiTheme="minorEastAsia" w:hAnsiTheme="minorEastAsia" w:eastAsiaTheme="minorEastAsia"/>
          <w:color w:val="auto"/>
          <w:szCs w:val="23"/>
        </w:rPr>
      </w:pPr>
      <w:r>
        <w:rPr>
          <w:rFonts w:hint="eastAsia" w:asciiTheme="minorEastAsia" w:hAnsiTheme="minorEastAsia" w:eastAsiaTheme="minorEastAsia"/>
          <w:color w:val="auto"/>
          <w:szCs w:val="23"/>
        </w:rPr>
        <w:t>地址：邮编：</w:t>
      </w:r>
    </w:p>
    <w:p>
      <w:pPr>
        <w:pStyle w:val="2"/>
        <w:spacing w:line="480" w:lineRule="auto"/>
        <w:rPr>
          <w:rFonts w:asciiTheme="minorEastAsia" w:hAnsiTheme="minorEastAsia" w:eastAsiaTheme="minorEastAsia"/>
          <w:color w:val="auto"/>
          <w:szCs w:val="23"/>
        </w:rPr>
      </w:pPr>
      <w:r>
        <w:rPr>
          <w:rFonts w:hint="eastAsia" w:asciiTheme="minorEastAsia" w:hAnsiTheme="minorEastAsia" w:eastAsiaTheme="minorEastAsia"/>
          <w:color w:val="auto"/>
          <w:szCs w:val="23"/>
        </w:rPr>
        <w:t>二、质疑项目基本信息</w:t>
      </w:r>
    </w:p>
    <w:p>
      <w:pPr>
        <w:pStyle w:val="2"/>
        <w:spacing w:line="480" w:lineRule="auto"/>
        <w:rPr>
          <w:rFonts w:asciiTheme="minorEastAsia" w:hAnsiTheme="minorEastAsia" w:eastAsiaTheme="minorEastAsia"/>
          <w:color w:val="auto"/>
          <w:szCs w:val="23"/>
        </w:rPr>
      </w:pPr>
    </w:p>
    <w:p>
      <w:pPr>
        <w:pStyle w:val="2"/>
        <w:spacing w:line="480" w:lineRule="auto"/>
        <w:rPr>
          <w:rFonts w:asciiTheme="minorEastAsia" w:hAnsiTheme="minorEastAsia" w:eastAsiaTheme="minorEastAsia"/>
          <w:color w:val="auto"/>
          <w:szCs w:val="23"/>
        </w:rPr>
      </w:pPr>
      <w:r>
        <w:rPr>
          <w:rFonts w:hint="eastAsia" w:asciiTheme="minorEastAsia" w:hAnsiTheme="minorEastAsia" w:eastAsiaTheme="minorEastAsia"/>
          <w:color w:val="auto"/>
          <w:szCs w:val="23"/>
        </w:rPr>
        <w:t>质疑项目的名称：</w:t>
      </w:r>
    </w:p>
    <w:p>
      <w:pPr>
        <w:pStyle w:val="2"/>
        <w:spacing w:line="480" w:lineRule="auto"/>
        <w:rPr>
          <w:rFonts w:asciiTheme="minorEastAsia" w:hAnsiTheme="minorEastAsia" w:eastAsiaTheme="minorEastAsia"/>
          <w:color w:val="auto"/>
          <w:szCs w:val="23"/>
        </w:rPr>
      </w:pPr>
      <w:r>
        <w:rPr>
          <w:rFonts w:hint="eastAsia" w:asciiTheme="minorEastAsia" w:hAnsiTheme="minorEastAsia" w:eastAsiaTheme="minorEastAsia"/>
          <w:color w:val="auto"/>
          <w:szCs w:val="23"/>
        </w:rPr>
        <w:t>质疑项目的编号：</w:t>
      </w:r>
    </w:p>
    <w:p>
      <w:pPr>
        <w:pStyle w:val="2"/>
        <w:spacing w:line="480" w:lineRule="auto"/>
        <w:rPr>
          <w:rFonts w:asciiTheme="minorEastAsia" w:hAnsiTheme="minorEastAsia" w:eastAsiaTheme="minorEastAsia"/>
          <w:color w:val="auto"/>
          <w:szCs w:val="23"/>
        </w:rPr>
      </w:pPr>
      <w:r>
        <w:rPr>
          <w:rFonts w:hint="eastAsia" w:asciiTheme="minorEastAsia" w:hAnsiTheme="minorEastAsia" w:eastAsiaTheme="minorEastAsia"/>
          <w:color w:val="auto"/>
          <w:szCs w:val="23"/>
        </w:rPr>
        <w:t>包号：</w:t>
      </w:r>
    </w:p>
    <w:p>
      <w:pPr>
        <w:pStyle w:val="2"/>
        <w:spacing w:line="480" w:lineRule="auto"/>
        <w:rPr>
          <w:rFonts w:asciiTheme="minorEastAsia" w:hAnsiTheme="minorEastAsia" w:eastAsiaTheme="minorEastAsia"/>
          <w:color w:val="auto"/>
          <w:szCs w:val="23"/>
        </w:rPr>
      </w:pPr>
      <w:r>
        <w:rPr>
          <w:rFonts w:hint="eastAsia" w:asciiTheme="minorEastAsia" w:hAnsiTheme="minorEastAsia" w:eastAsiaTheme="minorEastAsia"/>
          <w:color w:val="auto"/>
          <w:szCs w:val="23"/>
        </w:rPr>
        <w:t>采购人名称：</w:t>
      </w:r>
    </w:p>
    <w:p>
      <w:pPr>
        <w:pStyle w:val="2"/>
        <w:spacing w:line="480" w:lineRule="auto"/>
        <w:rPr>
          <w:rFonts w:asciiTheme="minorEastAsia" w:hAnsiTheme="minorEastAsia" w:eastAsiaTheme="minorEastAsia"/>
          <w:color w:val="auto"/>
          <w:szCs w:val="23"/>
        </w:rPr>
      </w:pPr>
      <w:r>
        <w:rPr>
          <w:rFonts w:hint="eastAsia" w:asciiTheme="minorEastAsia" w:hAnsiTheme="minorEastAsia" w:eastAsiaTheme="minorEastAsia"/>
          <w:color w:val="auto"/>
          <w:szCs w:val="23"/>
        </w:rPr>
        <w:t>采购文件获取日期：</w:t>
      </w:r>
    </w:p>
    <w:p>
      <w:pPr>
        <w:pStyle w:val="2"/>
        <w:spacing w:line="480" w:lineRule="auto"/>
        <w:rPr>
          <w:rFonts w:asciiTheme="minorEastAsia" w:hAnsiTheme="minorEastAsia" w:eastAsiaTheme="minorEastAsia"/>
          <w:color w:val="auto"/>
          <w:szCs w:val="23"/>
        </w:rPr>
      </w:pPr>
      <w:r>
        <w:rPr>
          <w:rFonts w:hint="eastAsia" w:asciiTheme="minorEastAsia" w:hAnsiTheme="minorEastAsia" w:eastAsiaTheme="minorEastAsia"/>
          <w:color w:val="auto"/>
          <w:szCs w:val="23"/>
        </w:rPr>
        <w:t>三、质疑事项具体内容</w:t>
      </w:r>
    </w:p>
    <w:p>
      <w:pPr>
        <w:pStyle w:val="2"/>
        <w:spacing w:line="480" w:lineRule="auto"/>
        <w:rPr>
          <w:rFonts w:asciiTheme="minorEastAsia" w:hAnsiTheme="minorEastAsia" w:eastAsiaTheme="minorEastAsia"/>
          <w:color w:val="auto"/>
          <w:szCs w:val="23"/>
        </w:rPr>
      </w:pPr>
    </w:p>
    <w:p>
      <w:pPr>
        <w:pStyle w:val="2"/>
        <w:spacing w:line="480" w:lineRule="auto"/>
        <w:rPr>
          <w:rFonts w:asciiTheme="minorEastAsia" w:hAnsiTheme="minorEastAsia" w:eastAsiaTheme="minorEastAsia"/>
          <w:color w:val="auto"/>
          <w:szCs w:val="23"/>
        </w:rPr>
      </w:pPr>
      <w:r>
        <w:rPr>
          <w:rFonts w:hint="eastAsia" w:asciiTheme="minorEastAsia" w:hAnsiTheme="minorEastAsia" w:eastAsiaTheme="minorEastAsia"/>
          <w:color w:val="auto"/>
          <w:szCs w:val="23"/>
        </w:rPr>
        <w:t>质疑事项</w:t>
      </w:r>
      <w:r>
        <w:rPr>
          <w:rFonts w:asciiTheme="minorEastAsia" w:hAnsiTheme="minorEastAsia" w:eastAsiaTheme="minorEastAsia"/>
          <w:color w:val="auto"/>
          <w:szCs w:val="23"/>
        </w:rPr>
        <w:t>1</w:t>
      </w:r>
      <w:r>
        <w:rPr>
          <w:rFonts w:hint="eastAsia" w:asciiTheme="minorEastAsia" w:hAnsiTheme="minorEastAsia" w:eastAsiaTheme="minorEastAsia"/>
          <w:color w:val="auto"/>
          <w:szCs w:val="23"/>
        </w:rPr>
        <w:t>：</w:t>
      </w:r>
    </w:p>
    <w:p>
      <w:pPr>
        <w:pStyle w:val="2"/>
        <w:spacing w:line="480" w:lineRule="auto"/>
        <w:rPr>
          <w:rFonts w:asciiTheme="minorEastAsia" w:hAnsiTheme="minorEastAsia" w:eastAsiaTheme="minorEastAsia"/>
          <w:color w:val="auto"/>
          <w:szCs w:val="23"/>
        </w:rPr>
      </w:pPr>
      <w:r>
        <w:rPr>
          <w:rFonts w:hint="eastAsia" w:asciiTheme="minorEastAsia" w:hAnsiTheme="minorEastAsia" w:eastAsiaTheme="minorEastAsia"/>
          <w:color w:val="auto"/>
          <w:szCs w:val="23"/>
        </w:rPr>
        <w:t>事实依据：</w:t>
      </w:r>
    </w:p>
    <w:p>
      <w:pPr>
        <w:pStyle w:val="2"/>
        <w:spacing w:line="480" w:lineRule="auto"/>
        <w:rPr>
          <w:rFonts w:asciiTheme="minorEastAsia" w:hAnsiTheme="minorEastAsia" w:eastAsiaTheme="minorEastAsia"/>
          <w:color w:val="auto"/>
          <w:szCs w:val="23"/>
        </w:rPr>
      </w:pPr>
      <w:r>
        <w:rPr>
          <w:rFonts w:hint="eastAsia" w:asciiTheme="minorEastAsia" w:hAnsiTheme="minorEastAsia" w:eastAsiaTheme="minorEastAsia"/>
          <w:color w:val="auto"/>
          <w:szCs w:val="23"/>
        </w:rPr>
        <w:t>法律依据：</w:t>
      </w:r>
    </w:p>
    <w:p>
      <w:pPr>
        <w:pStyle w:val="2"/>
        <w:spacing w:line="480" w:lineRule="auto"/>
        <w:rPr>
          <w:rFonts w:asciiTheme="minorEastAsia" w:hAnsiTheme="minorEastAsia" w:eastAsiaTheme="minorEastAsia"/>
          <w:color w:val="auto"/>
          <w:szCs w:val="23"/>
        </w:rPr>
      </w:pPr>
      <w:r>
        <w:rPr>
          <w:rFonts w:hint="eastAsia" w:asciiTheme="minorEastAsia" w:hAnsiTheme="minorEastAsia" w:eastAsiaTheme="minorEastAsia"/>
          <w:color w:val="auto"/>
          <w:szCs w:val="23"/>
        </w:rPr>
        <w:t>质疑事项</w:t>
      </w:r>
      <w:r>
        <w:rPr>
          <w:rFonts w:asciiTheme="minorEastAsia" w:hAnsiTheme="minorEastAsia" w:eastAsiaTheme="minorEastAsia"/>
          <w:color w:val="auto"/>
          <w:szCs w:val="23"/>
        </w:rPr>
        <w:t>2</w:t>
      </w:r>
      <w:r>
        <w:rPr>
          <w:rFonts w:hint="eastAsia" w:asciiTheme="minorEastAsia" w:hAnsiTheme="minorEastAsia" w:eastAsiaTheme="minorEastAsia"/>
          <w:color w:val="auto"/>
          <w:szCs w:val="23"/>
        </w:rPr>
        <w:t>：</w:t>
      </w:r>
    </w:p>
    <w:p>
      <w:pPr>
        <w:pStyle w:val="2"/>
        <w:spacing w:line="480" w:lineRule="auto"/>
        <w:rPr>
          <w:rFonts w:asciiTheme="minorEastAsia" w:hAnsiTheme="minorEastAsia" w:eastAsiaTheme="minorEastAsia"/>
          <w:color w:val="auto"/>
          <w:szCs w:val="23"/>
        </w:rPr>
      </w:pPr>
      <w:r>
        <w:rPr>
          <w:rFonts w:hint="eastAsia" w:asciiTheme="minorEastAsia" w:hAnsiTheme="minorEastAsia" w:eastAsiaTheme="minorEastAsia"/>
          <w:color w:val="auto"/>
          <w:szCs w:val="23"/>
        </w:rPr>
        <w:t>……</w:t>
      </w:r>
    </w:p>
    <w:p>
      <w:pPr>
        <w:pStyle w:val="2"/>
        <w:spacing w:line="480" w:lineRule="auto"/>
        <w:rPr>
          <w:rFonts w:asciiTheme="minorEastAsia" w:hAnsiTheme="minorEastAsia" w:eastAsiaTheme="minorEastAsia"/>
          <w:color w:val="auto"/>
          <w:szCs w:val="23"/>
        </w:rPr>
      </w:pPr>
      <w:r>
        <w:rPr>
          <w:rFonts w:hint="eastAsia" w:asciiTheme="minorEastAsia" w:hAnsiTheme="minorEastAsia" w:eastAsiaTheme="minorEastAsia"/>
          <w:color w:val="auto"/>
          <w:szCs w:val="23"/>
        </w:rPr>
        <w:t>四、与质疑事项相关的质疑请求请求：</w:t>
      </w:r>
    </w:p>
    <w:p>
      <w:pPr>
        <w:pStyle w:val="2"/>
        <w:spacing w:line="480" w:lineRule="auto"/>
        <w:rPr>
          <w:rFonts w:asciiTheme="minorEastAsia" w:hAnsiTheme="minorEastAsia" w:eastAsiaTheme="minorEastAsia"/>
          <w:color w:val="auto"/>
          <w:szCs w:val="23"/>
        </w:rPr>
      </w:pPr>
      <w:r>
        <w:rPr>
          <w:rFonts w:hint="eastAsia" w:asciiTheme="minorEastAsia" w:hAnsiTheme="minorEastAsia" w:eastAsiaTheme="minorEastAsia"/>
          <w:color w:val="auto"/>
          <w:szCs w:val="23"/>
        </w:rPr>
        <w:t>签字（签章）：</w:t>
      </w:r>
    </w:p>
    <w:p>
      <w:pPr>
        <w:pStyle w:val="2"/>
        <w:spacing w:line="480" w:lineRule="auto"/>
        <w:rPr>
          <w:rFonts w:asciiTheme="minorEastAsia" w:hAnsiTheme="minorEastAsia" w:eastAsiaTheme="minorEastAsia"/>
          <w:color w:val="auto"/>
          <w:szCs w:val="23"/>
        </w:rPr>
      </w:pPr>
      <w:r>
        <w:rPr>
          <w:rFonts w:hint="eastAsia" w:asciiTheme="minorEastAsia" w:hAnsiTheme="minorEastAsia" w:eastAsiaTheme="minorEastAsia"/>
          <w:color w:val="auto"/>
          <w:szCs w:val="23"/>
        </w:rPr>
        <w:t>公章：</w:t>
      </w:r>
    </w:p>
    <w:p>
      <w:pPr>
        <w:spacing w:line="480" w:lineRule="auto"/>
        <w:rPr>
          <w:rFonts w:asciiTheme="minorEastAsia" w:hAnsiTheme="minorEastAsia"/>
          <w:sz w:val="24"/>
          <w:szCs w:val="23"/>
        </w:rPr>
      </w:pPr>
      <w:r>
        <w:rPr>
          <w:rFonts w:hint="eastAsia" w:asciiTheme="minorEastAsia" w:hAnsiTheme="minorEastAsia"/>
          <w:sz w:val="24"/>
          <w:szCs w:val="23"/>
        </w:rPr>
        <w:t>日期：</w:t>
      </w:r>
    </w:p>
    <w:p>
      <w:pPr>
        <w:rPr>
          <w:rFonts w:asciiTheme="minorEastAsia" w:hAnsiTheme="minorEastAsia"/>
          <w:sz w:val="23"/>
          <w:szCs w:val="23"/>
        </w:rPr>
      </w:pPr>
    </w:p>
    <w:p>
      <w:pPr>
        <w:rPr>
          <w:rFonts w:asciiTheme="minorEastAsia" w:hAnsiTheme="minorEastAsia"/>
          <w:sz w:val="23"/>
          <w:szCs w:val="23"/>
        </w:rPr>
      </w:pPr>
    </w:p>
    <w:p>
      <w:pPr>
        <w:rPr>
          <w:rFonts w:asciiTheme="minorEastAsia" w:hAnsiTheme="minorEastAsia"/>
          <w:sz w:val="23"/>
          <w:szCs w:val="23"/>
        </w:rPr>
      </w:pPr>
    </w:p>
    <w:p>
      <w:pPr>
        <w:spacing w:line="480" w:lineRule="auto"/>
        <w:rPr>
          <w:rFonts w:asciiTheme="minorEastAsia" w:hAnsiTheme="minorEastAsia"/>
          <w:b/>
          <w:sz w:val="24"/>
        </w:rPr>
      </w:pPr>
      <w:r>
        <w:rPr>
          <w:rFonts w:hint="eastAsia" w:asciiTheme="minorEastAsia" w:hAnsiTheme="minorEastAsia"/>
          <w:b/>
          <w:sz w:val="24"/>
        </w:rPr>
        <w:t>质疑函制作说明：</w:t>
      </w:r>
    </w:p>
    <w:p>
      <w:pPr>
        <w:spacing w:line="480" w:lineRule="auto"/>
        <w:rPr>
          <w:rFonts w:asciiTheme="minorEastAsia" w:hAnsiTheme="minorEastAsia"/>
          <w:b/>
          <w:sz w:val="24"/>
        </w:rPr>
      </w:pPr>
      <w:r>
        <w:rPr>
          <w:rFonts w:hint="eastAsia" w:asciiTheme="minorEastAsia" w:hAnsiTheme="minorEastAsia"/>
          <w:b/>
          <w:sz w:val="24"/>
        </w:rPr>
        <w:t xml:space="preserve">1. </w:t>
      </w:r>
      <w:r>
        <w:rPr>
          <w:rFonts w:hint="eastAsia" w:asciiTheme="minorEastAsia" w:hAnsiTheme="minorEastAsia"/>
          <w:b/>
          <w:sz w:val="24"/>
          <w:lang w:eastAsia="zh-CN"/>
        </w:rPr>
        <w:t>响应人</w:t>
      </w:r>
      <w:r>
        <w:rPr>
          <w:rFonts w:hint="eastAsia" w:asciiTheme="minorEastAsia" w:hAnsiTheme="minorEastAsia"/>
          <w:b/>
          <w:sz w:val="24"/>
        </w:rPr>
        <w:t>提出质疑时，应提交质疑函和必要的证明材料。</w:t>
      </w:r>
    </w:p>
    <w:p>
      <w:pPr>
        <w:spacing w:line="480" w:lineRule="auto"/>
        <w:rPr>
          <w:rFonts w:asciiTheme="minorEastAsia" w:hAnsiTheme="minorEastAsia"/>
          <w:b/>
          <w:sz w:val="24"/>
        </w:rPr>
      </w:pPr>
      <w:r>
        <w:rPr>
          <w:rFonts w:hint="eastAsia" w:asciiTheme="minorEastAsia" w:hAnsiTheme="minorEastAsia"/>
          <w:b/>
          <w:sz w:val="24"/>
        </w:rPr>
        <w:t>2. 质疑</w:t>
      </w:r>
      <w:r>
        <w:rPr>
          <w:rFonts w:hint="eastAsia" w:asciiTheme="minorEastAsia" w:hAnsiTheme="minorEastAsia"/>
          <w:b/>
          <w:sz w:val="24"/>
          <w:lang w:eastAsia="zh-CN"/>
        </w:rPr>
        <w:t>响应人</w:t>
      </w:r>
      <w:r>
        <w:rPr>
          <w:rFonts w:hint="eastAsia" w:asciiTheme="minorEastAsia" w:hAnsiTheme="minorEastAsia"/>
          <w:b/>
          <w:sz w:val="24"/>
        </w:rPr>
        <w:t>若委托代理人进行质疑的，质疑函应按 要求列明 授权代表 的有关内容，并在附件中提交由质疑</w:t>
      </w:r>
      <w:r>
        <w:rPr>
          <w:rFonts w:hint="eastAsia" w:asciiTheme="minorEastAsia" w:hAnsiTheme="minorEastAsia"/>
          <w:b/>
          <w:sz w:val="24"/>
          <w:lang w:eastAsia="zh-CN"/>
        </w:rPr>
        <w:t>响应人</w:t>
      </w:r>
      <w:r>
        <w:rPr>
          <w:rFonts w:hint="eastAsia" w:asciiTheme="minorEastAsia" w:hAnsiTheme="minorEastAsia"/>
          <w:b/>
          <w:sz w:val="24"/>
        </w:rPr>
        <w:t>签署的授权委托书。授权委托书应载明代理人的姓名或者名称，代理事项 、具体权限、期限和相关事项。</w:t>
      </w:r>
    </w:p>
    <w:p>
      <w:pPr>
        <w:spacing w:line="480" w:lineRule="auto"/>
        <w:rPr>
          <w:rFonts w:asciiTheme="minorEastAsia" w:hAnsiTheme="minorEastAsia"/>
          <w:b/>
          <w:sz w:val="24"/>
        </w:rPr>
      </w:pPr>
      <w:r>
        <w:rPr>
          <w:rFonts w:hint="eastAsia" w:asciiTheme="minorEastAsia" w:hAnsiTheme="minorEastAsia"/>
          <w:b/>
          <w:sz w:val="24"/>
        </w:rPr>
        <w:t>3. 质疑</w:t>
      </w:r>
      <w:r>
        <w:rPr>
          <w:rFonts w:hint="eastAsia" w:asciiTheme="minorEastAsia" w:hAnsiTheme="minorEastAsia"/>
          <w:b/>
          <w:sz w:val="24"/>
          <w:lang w:eastAsia="zh-CN"/>
        </w:rPr>
        <w:t>响应人</w:t>
      </w:r>
      <w:r>
        <w:rPr>
          <w:rFonts w:hint="eastAsia" w:asciiTheme="minorEastAsia" w:hAnsiTheme="minorEastAsia"/>
          <w:b/>
          <w:sz w:val="24"/>
        </w:rPr>
        <w:t>若对项目的某一分包进行质疑，质疑函中应列明具体分包号。</w:t>
      </w:r>
    </w:p>
    <w:p>
      <w:pPr>
        <w:spacing w:line="480" w:lineRule="auto"/>
        <w:rPr>
          <w:rFonts w:asciiTheme="minorEastAsia" w:hAnsiTheme="minorEastAsia"/>
          <w:b/>
          <w:sz w:val="24"/>
        </w:rPr>
      </w:pPr>
      <w:r>
        <w:rPr>
          <w:rFonts w:hint="eastAsia" w:asciiTheme="minorEastAsia" w:hAnsiTheme="minorEastAsia"/>
          <w:b/>
          <w:sz w:val="24"/>
        </w:rPr>
        <w:t>4. 质疑函的质疑事项应具体、明确，并有必要的事实依据和法律依据。</w:t>
      </w:r>
    </w:p>
    <w:p>
      <w:pPr>
        <w:spacing w:line="480" w:lineRule="auto"/>
        <w:rPr>
          <w:rFonts w:asciiTheme="minorEastAsia" w:hAnsiTheme="minorEastAsia"/>
          <w:b/>
          <w:sz w:val="24"/>
        </w:rPr>
      </w:pPr>
      <w:r>
        <w:rPr>
          <w:rFonts w:hint="eastAsia" w:asciiTheme="minorEastAsia" w:hAnsiTheme="minorEastAsia"/>
          <w:b/>
          <w:sz w:val="24"/>
        </w:rPr>
        <w:t>5. 质疑函的质疑请求应与质疑事项相关。</w:t>
      </w:r>
    </w:p>
    <w:p>
      <w:pPr>
        <w:spacing w:line="480" w:lineRule="auto"/>
        <w:rPr>
          <w:rFonts w:asciiTheme="minorEastAsia" w:hAnsiTheme="minorEastAsia"/>
          <w:b/>
          <w:sz w:val="24"/>
        </w:rPr>
      </w:pPr>
      <w:r>
        <w:rPr>
          <w:rFonts w:hint="eastAsia" w:asciiTheme="minorEastAsia" w:hAnsiTheme="minorEastAsia"/>
          <w:b/>
          <w:sz w:val="24"/>
        </w:rPr>
        <w:t>6. 质疑</w:t>
      </w:r>
      <w:r>
        <w:rPr>
          <w:rFonts w:hint="eastAsia" w:asciiTheme="minorEastAsia" w:hAnsiTheme="minorEastAsia"/>
          <w:b/>
          <w:sz w:val="24"/>
          <w:lang w:eastAsia="zh-CN"/>
        </w:rPr>
        <w:t>响应人</w:t>
      </w:r>
      <w:r>
        <w:rPr>
          <w:rFonts w:hint="eastAsia" w:asciiTheme="minorEastAsia" w:hAnsiTheme="minorEastAsia"/>
          <w:b/>
          <w:sz w:val="24"/>
        </w:rPr>
        <w:t>为自然人的，质疑函应由本人签字；质疑</w:t>
      </w:r>
      <w:r>
        <w:rPr>
          <w:rFonts w:hint="eastAsia" w:asciiTheme="minorEastAsia" w:hAnsiTheme="minorEastAsia"/>
          <w:b/>
          <w:sz w:val="24"/>
          <w:lang w:eastAsia="zh-CN"/>
        </w:rPr>
        <w:t>响应人</w:t>
      </w:r>
      <w:r>
        <w:rPr>
          <w:rFonts w:hint="eastAsia" w:asciiTheme="minorEastAsia" w:hAnsiTheme="minorEastAsia"/>
          <w:b/>
          <w:sz w:val="24"/>
        </w:rPr>
        <w:t>为法人或者其他组织的，质疑函应由法定代表人、主要负责人 或者他授权代表签字或者盖章，并加盖公章。</w:t>
      </w:r>
    </w:p>
    <w:p>
      <w:pPr>
        <w:widowControl/>
        <w:jc w:val="left"/>
        <w:rPr>
          <w:rFonts w:asciiTheme="minorEastAsia" w:hAnsiTheme="minorEastAsia"/>
          <w:b/>
          <w:sz w:val="24"/>
        </w:rPr>
      </w:pPr>
      <w:r>
        <w:rPr>
          <w:rFonts w:asciiTheme="minorEastAsia" w:hAnsiTheme="minorEastAsia"/>
          <w:b/>
          <w:sz w:val="24"/>
        </w:rPr>
        <w:br w:type="page"/>
      </w:r>
    </w:p>
    <w:p>
      <w:pPr>
        <w:pStyle w:val="6"/>
        <w:rPr>
          <w:sz w:val="24"/>
        </w:rPr>
      </w:pPr>
      <w:bookmarkStart w:id="15" w:name="_Toc2582305"/>
      <w:bookmarkStart w:id="16" w:name="_Toc21748"/>
      <w:bookmarkStart w:id="17" w:name="_Toc43371486"/>
      <w:bookmarkStart w:id="18" w:name="_Toc515647799"/>
      <w:bookmarkStart w:id="19" w:name="_Toc16186"/>
      <w:bookmarkStart w:id="20" w:name="_Toc532473491"/>
      <w:bookmarkStart w:id="21" w:name="_Toc15638308"/>
      <w:r>
        <w:rPr>
          <w:rFonts w:hint="eastAsia"/>
          <w:sz w:val="24"/>
        </w:rPr>
        <w:t>附件2：履约保证金保函（格式）</w:t>
      </w:r>
      <w:bookmarkEnd w:id="15"/>
      <w:bookmarkEnd w:id="16"/>
      <w:bookmarkEnd w:id="17"/>
      <w:bookmarkEnd w:id="18"/>
      <w:bookmarkEnd w:id="19"/>
      <w:bookmarkEnd w:id="20"/>
      <w:bookmarkEnd w:id="21"/>
    </w:p>
    <w:p>
      <w:pPr>
        <w:pStyle w:val="24"/>
        <w:spacing w:line="360" w:lineRule="auto"/>
        <w:ind w:left="1080" w:leftChars="257" w:hanging="540"/>
        <w:rPr>
          <w:rFonts w:hAnsi="宋体"/>
          <w:b/>
          <w:sz w:val="24"/>
        </w:rPr>
      </w:pPr>
      <w:r>
        <w:rPr>
          <w:rFonts w:hint="eastAsia" w:hAnsi="宋体"/>
          <w:b/>
          <w:sz w:val="24"/>
        </w:rPr>
        <w:t xml:space="preserve">                         （如果需要成交后开具）</w:t>
      </w:r>
    </w:p>
    <w:p>
      <w:pPr>
        <w:pStyle w:val="24"/>
        <w:spacing w:line="360" w:lineRule="auto"/>
        <w:rPr>
          <w:rFonts w:hAnsi="宋体"/>
          <w:sz w:val="24"/>
        </w:rPr>
      </w:pPr>
      <w:r>
        <w:rPr>
          <w:rFonts w:hint="eastAsia" w:hAnsi="宋体"/>
          <w:sz w:val="24"/>
        </w:rPr>
        <w:t>致: (</w:t>
      </w:r>
      <w:r>
        <w:rPr>
          <w:rFonts w:hint="eastAsia" w:hAnsi="宋体"/>
          <w:i/>
          <w:sz w:val="24"/>
          <w:u w:val="single"/>
        </w:rPr>
        <w:t>买方名称</w:t>
      </w:r>
      <w:r>
        <w:rPr>
          <w:rFonts w:hint="eastAsia" w:hAnsi="宋体"/>
          <w:sz w:val="24"/>
        </w:rPr>
        <w:t>)</w:t>
      </w:r>
    </w:p>
    <w:p>
      <w:pPr>
        <w:pStyle w:val="24"/>
        <w:spacing w:line="360" w:lineRule="auto"/>
        <w:ind w:left="1080" w:leftChars="257" w:hanging="540"/>
        <w:jc w:val="center"/>
        <w:rPr>
          <w:rFonts w:hAnsi="宋体"/>
          <w:sz w:val="24"/>
        </w:rPr>
      </w:pPr>
      <w:r>
        <w:rPr>
          <w:rFonts w:hint="eastAsia" w:hAnsi="宋体"/>
          <w:sz w:val="24"/>
        </w:rPr>
        <w:t>号合同履约保函</w:t>
      </w:r>
    </w:p>
    <w:p>
      <w:pPr>
        <w:pStyle w:val="24"/>
        <w:spacing w:line="360" w:lineRule="auto"/>
        <w:ind w:firstLine="600" w:firstLineChars="250"/>
        <w:rPr>
          <w:rFonts w:hAnsi="宋体"/>
          <w:sz w:val="24"/>
        </w:rPr>
      </w:pPr>
      <w:r>
        <w:rPr>
          <w:rFonts w:hint="eastAsia" w:hAnsi="宋体"/>
          <w:sz w:val="24"/>
        </w:rPr>
        <w:t>本保函作为贵方与(</w:t>
      </w:r>
      <w:r>
        <w:rPr>
          <w:rFonts w:hint="eastAsia" w:hAnsi="宋体"/>
          <w:i/>
          <w:sz w:val="24"/>
          <w:u w:val="single"/>
        </w:rPr>
        <w:t>卖方名称</w:t>
      </w:r>
      <w:r>
        <w:rPr>
          <w:rFonts w:hint="eastAsia" w:hAnsi="宋体"/>
          <w:sz w:val="24"/>
        </w:rPr>
        <w:t>)(以下简称卖方)于年月日就项目(以下简称项目)项下提供(</w:t>
      </w:r>
      <w:r>
        <w:rPr>
          <w:rFonts w:hint="eastAsia" w:hAnsi="宋体"/>
          <w:i/>
          <w:sz w:val="24"/>
          <w:u w:val="single"/>
        </w:rPr>
        <w:t>货物名称</w:t>
      </w:r>
      <w:r>
        <w:rPr>
          <w:rFonts w:hint="eastAsia" w:hAnsi="宋体"/>
          <w:sz w:val="24"/>
        </w:rPr>
        <w:t>)(以下简称货物)签订的(</w:t>
      </w:r>
      <w:r>
        <w:rPr>
          <w:rFonts w:hint="eastAsia" w:hAnsi="宋体"/>
          <w:i/>
          <w:sz w:val="24"/>
          <w:u w:val="single"/>
        </w:rPr>
        <w:t>合同号</w:t>
      </w:r>
      <w:r>
        <w:rPr>
          <w:rFonts w:hint="eastAsia" w:hAnsi="宋体"/>
          <w:sz w:val="24"/>
        </w:rPr>
        <w:t>)号合同的履约保函。</w:t>
      </w:r>
    </w:p>
    <w:p>
      <w:pPr>
        <w:pStyle w:val="24"/>
        <w:spacing w:line="360" w:lineRule="auto"/>
        <w:ind w:firstLine="540" w:firstLineChars="225"/>
        <w:rPr>
          <w:rFonts w:hAnsi="宋体"/>
          <w:sz w:val="24"/>
        </w:rPr>
      </w:pPr>
      <w:r>
        <w:rPr>
          <w:rFonts w:hint="eastAsia" w:hAnsi="宋体"/>
          <w:sz w:val="24"/>
        </w:rPr>
        <w:t>(</w:t>
      </w:r>
      <w:r>
        <w:rPr>
          <w:rFonts w:hint="eastAsia" w:hAnsi="宋体"/>
          <w:i/>
          <w:sz w:val="24"/>
          <w:u w:val="single"/>
        </w:rPr>
        <w:t>出具保函的银行名称</w:t>
      </w:r>
      <w:r>
        <w:rPr>
          <w:rFonts w:hint="eastAsia" w:hAnsi="宋体"/>
          <w:sz w:val="24"/>
        </w:rPr>
        <w:t>)(以下简称银行)无条件地、不可撤销地具结保证本行、其继承人和受让人无追索地向贵方以(</w:t>
      </w:r>
      <w:r>
        <w:rPr>
          <w:rFonts w:hint="eastAsia" w:hAnsi="宋体"/>
          <w:i/>
          <w:sz w:val="24"/>
          <w:u w:val="single"/>
        </w:rPr>
        <w:t>货币名称</w:t>
      </w:r>
      <w:r>
        <w:rPr>
          <w:rFonts w:hint="eastAsia" w:hAnsi="宋体"/>
          <w:sz w:val="24"/>
        </w:rPr>
        <w:t>)支付总额不超过(</w:t>
      </w:r>
      <w:r>
        <w:rPr>
          <w:rFonts w:hint="eastAsia" w:hAnsi="宋体"/>
          <w:i/>
          <w:sz w:val="24"/>
          <w:u w:val="single"/>
        </w:rPr>
        <w:t>货币数量</w:t>
      </w:r>
      <w:r>
        <w:rPr>
          <w:rFonts w:hint="eastAsia" w:hAnsi="宋体"/>
          <w:sz w:val="24"/>
        </w:rPr>
        <w:t>),即相当于合同价格的%,并以此约定如下:</w:t>
      </w:r>
    </w:p>
    <w:p>
      <w:pPr>
        <w:pStyle w:val="24"/>
        <w:spacing w:line="360" w:lineRule="auto"/>
        <w:ind w:left="540" w:leftChars="257"/>
        <w:rPr>
          <w:rFonts w:hAnsi="宋体"/>
          <w:sz w:val="24"/>
        </w:rPr>
      </w:pPr>
      <w:r>
        <w:rPr>
          <w:rFonts w:hint="eastAsia" w:hAnsi="宋体"/>
          <w:sz w:val="24"/>
        </w:rPr>
        <w:t>1.只要贵方确定卖方未能忠实地履行所有合同文件的规定和双方此后一致 同意的修改、补充和变动,包括更改和/或修补贵方认为有缺陷的货物(以下简称违约),无论卖方有任何反对,本行将凭贵方关于卖方违约说明的书面通知,立即按贵方提出的累计总额不超过上述金额的款项和按贵方通知规定的方式付给贵方。</w:t>
      </w:r>
    </w:p>
    <w:p>
      <w:pPr>
        <w:pStyle w:val="24"/>
        <w:spacing w:line="360" w:lineRule="auto"/>
        <w:ind w:left="540"/>
        <w:rPr>
          <w:rFonts w:hAnsi="宋体"/>
          <w:sz w:val="24"/>
        </w:rPr>
      </w:pPr>
      <w:r>
        <w:rPr>
          <w:rFonts w:hint="eastAsia" w:hAnsi="宋体"/>
          <w:sz w:val="24"/>
        </w:rPr>
        <w:t>2.本保函项下的任何支付应为免税和净值。对于现有或将来的税收、关税、收费、费用扣减或预提税款，不论这些款项是何种性质和由谁征收，都不应从本保函项下的支付中扣除。</w:t>
      </w:r>
    </w:p>
    <w:p>
      <w:pPr>
        <w:pStyle w:val="24"/>
        <w:spacing w:line="360" w:lineRule="auto"/>
        <w:ind w:left="540"/>
        <w:rPr>
          <w:rFonts w:hAnsi="宋体"/>
          <w:sz w:val="24"/>
        </w:rPr>
      </w:pPr>
      <w:r>
        <w:rPr>
          <w:rFonts w:hint="eastAsia" w:hAnsi="宋体"/>
          <w:sz w:val="24"/>
        </w:rPr>
        <w:t>3.本保函的条款构成本行无条件的、不可撤销的直接责任。对即将履行的合同条款的任何变更、贵方在时间上的宽限、或由贵方采取的如果没有本款可能免除本行责任的任何其它行为，均不能解除或免除本行在本保函项下的责任。</w:t>
      </w:r>
    </w:p>
    <w:p>
      <w:pPr>
        <w:pStyle w:val="24"/>
        <w:spacing w:line="360" w:lineRule="auto"/>
        <w:ind w:left="1080" w:leftChars="257" w:hanging="540"/>
        <w:rPr>
          <w:rFonts w:hAnsi="宋体"/>
          <w:sz w:val="24"/>
        </w:rPr>
      </w:pPr>
      <w:r>
        <w:rPr>
          <w:rFonts w:hint="eastAsia" w:hAnsi="宋体"/>
          <w:sz w:val="24"/>
        </w:rPr>
        <w:t>4.本保函在本合同规定的保证期期满前完全有效。</w:t>
      </w:r>
    </w:p>
    <w:p>
      <w:pPr>
        <w:pStyle w:val="24"/>
        <w:spacing w:line="360" w:lineRule="auto"/>
        <w:ind w:left="1080" w:leftChars="257" w:hanging="540"/>
        <w:rPr>
          <w:rFonts w:hAnsi="宋体"/>
          <w:sz w:val="24"/>
        </w:rPr>
      </w:pPr>
      <w:r>
        <w:rPr>
          <w:rFonts w:hint="eastAsia" w:hAnsi="宋体"/>
          <w:sz w:val="24"/>
        </w:rPr>
        <w:t>谨启</w:t>
      </w:r>
    </w:p>
    <w:p>
      <w:pPr>
        <w:pStyle w:val="24"/>
        <w:spacing w:line="360" w:lineRule="auto"/>
        <w:ind w:left="1080" w:leftChars="257" w:hanging="540"/>
        <w:rPr>
          <w:rFonts w:hAnsi="宋体"/>
          <w:sz w:val="24"/>
        </w:rPr>
      </w:pPr>
      <w:r>
        <w:rPr>
          <w:rFonts w:hint="eastAsia" w:hAnsi="宋体"/>
          <w:sz w:val="24"/>
        </w:rPr>
        <w:t>出具保函银行名称：</w:t>
      </w:r>
    </w:p>
    <w:p>
      <w:pPr>
        <w:pStyle w:val="24"/>
        <w:spacing w:line="360" w:lineRule="auto"/>
        <w:ind w:left="1080" w:leftChars="257" w:hanging="540"/>
        <w:rPr>
          <w:rFonts w:hAnsi="宋体"/>
          <w:sz w:val="24"/>
          <w:u w:val="single"/>
        </w:rPr>
      </w:pPr>
      <w:r>
        <w:rPr>
          <w:rFonts w:hint="eastAsia" w:hAnsi="宋体"/>
          <w:sz w:val="24"/>
        </w:rPr>
        <w:t>签字人姓名和职务：</w:t>
      </w:r>
    </w:p>
    <w:p>
      <w:pPr>
        <w:pStyle w:val="24"/>
        <w:spacing w:line="360" w:lineRule="auto"/>
        <w:ind w:left="1080" w:leftChars="257" w:hanging="540"/>
        <w:rPr>
          <w:rFonts w:hAnsi="宋体"/>
          <w:sz w:val="24"/>
        </w:rPr>
      </w:pPr>
      <w:r>
        <w:rPr>
          <w:rFonts w:hint="eastAsia" w:hAnsi="宋体"/>
          <w:sz w:val="24"/>
        </w:rPr>
        <w:t>签字人签名：</w:t>
      </w:r>
    </w:p>
    <w:p>
      <w:pPr>
        <w:spacing w:line="360" w:lineRule="auto"/>
        <w:ind w:firstLine="480" w:firstLineChars="200"/>
        <w:rPr>
          <w:rFonts w:hAnsi="宋体"/>
          <w:sz w:val="24"/>
          <w:u w:val="single"/>
        </w:rPr>
      </w:pPr>
      <w:r>
        <w:rPr>
          <w:rFonts w:hint="eastAsia" w:ascii="宋体" w:hAnsi="宋体"/>
          <w:sz w:val="24"/>
        </w:rPr>
        <w:t>公章</w:t>
      </w:r>
      <w:r>
        <w:rPr>
          <w:rFonts w:hint="eastAsia" w:hAnsi="宋体"/>
          <w:sz w:val="24"/>
        </w:rPr>
        <w:t>：</w:t>
      </w:r>
    </w:p>
    <w:p>
      <w:pPr>
        <w:widowControl/>
        <w:jc w:val="left"/>
        <w:rPr>
          <w:rFonts w:hAnsi="宋体"/>
          <w:sz w:val="24"/>
          <w:u w:val="single"/>
        </w:rPr>
      </w:pPr>
      <w:r>
        <w:rPr>
          <w:rFonts w:hAnsi="宋体"/>
          <w:sz w:val="24"/>
          <w:u w:val="single"/>
        </w:rPr>
        <w:br w:type="page"/>
      </w:r>
    </w:p>
    <w:p>
      <w:pPr>
        <w:pStyle w:val="6"/>
        <w:rPr>
          <w:sz w:val="24"/>
        </w:rPr>
      </w:pPr>
      <w:bookmarkStart w:id="22" w:name="_Toc515647800"/>
      <w:bookmarkStart w:id="23" w:name="_Toc532473492"/>
      <w:bookmarkStart w:id="24" w:name="_Toc6548"/>
      <w:bookmarkStart w:id="25" w:name="_Toc43371487"/>
      <w:bookmarkStart w:id="26" w:name="_Toc15638309"/>
      <w:bookmarkStart w:id="27" w:name="_Toc10951"/>
      <w:bookmarkStart w:id="28" w:name="_Toc2582306"/>
      <w:r>
        <w:rPr>
          <w:rFonts w:hint="eastAsia"/>
          <w:sz w:val="24"/>
        </w:rPr>
        <w:t>附件3：履约担保函格式</w:t>
      </w:r>
      <w:bookmarkEnd w:id="22"/>
      <w:bookmarkEnd w:id="23"/>
      <w:bookmarkEnd w:id="24"/>
      <w:bookmarkEnd w:id="25"/>
      <w:bookmarkEnd w:id="26"/>
      <w:bookmarkEnd w:id="27"/>
      <w:bookmarkEnd w:id="28"/>
    </w:p>
    <w:p>
      <w:pPr>
        <w:spacing w:line="360" w:lineRule="auto"/>
        <w:jc w:val="center"/>
        <w:rPr>
          <w:rFonts w:ascii="宋体" w:hAnsi="宋体"/>
          <w:b/>
          <w:sz w:val="24"/>
        </w:rPr>
      </w:pPr>
      <w:bookmarkStart w:id="29" w:name="_Toc162"/>
      <w:bookmarkStart w:id="30" w:name="_Toc515647801"/>
      <w:bookmarkStart w:id="31" w:name="_Toc13962"/>
      <w:r>
        <w:rPr>
          <w:rFonts w:hint="eastAsia" w:ascii="宋体" w:hAnsi="宋体"/>
          <w:b/>
          <w:sz w:val="24"/>
        </w:rPr>
        <w:t>（采用政府采购信用担保形式时</w:t>
      </w:r>
      <w:r>
        <w:rPr>
          <w:rFonts w:ascii="宋体" w:hAnsi="宋体"/>
          <w:b/>
          <w:sz w:val="24"/>
        </w:rPr>
        <w:t>使用）</w:t>
      </w:r>
      <w:bookmarkEnd w:id="29"/>
      <w:bookmarkEnd w:id="30"/>
      <w:bookmarkEnd w:id="31"/>
    </w:p>
    <w:p>
      <w:pPr>
        <w:spacing w:line="360" w:lineRule="auto"/>
        <w:ind w:left="1080" w:leftChars="257" w:hanging="540"/>
        <w:rPr>
          <w:rFonts w:ascii="宋体" w:hAnsi="宋体"/>
          <w:b/>
          <w:kern w:val="0"/>
          <w:sz w:val="24"/>
          <w:szCs w:val="20"/>
        </w:rPr>
      </w:pPr>
    </w:p>
    <w:p>
      <w:pPr>
        <w:spacing w:line="360" w:lineRule="auto"/>
        <w:jc w:val="center"/>
        <w:rPr>
          <w:rFonts w:ascii="宋体" w:hAnsi="宋体"/>
          <w:sz w:val="24"/>
        </w:rPr>
      </w:pPr>
      <w:r>
        <w:rPr>
          <w:rFonts w:hint="eastAsia" w:ascii="宋体" w:hAnsi="宋体"/>
          <w:sz w:val="24"/>
        </w:rPr>
        <w:t>政府采购履约担保函（项目用）</w:t>
      </w:r>
    </w:p>
    <w:p>
      <w:pPr>
        <w:spacing w:line="360" w:lineRule="auto"/>
        <w:rPr>
          <w:rFonts w:ascii="宋体" w:hAnsi="宋体"/>
          <w:sz w:val="24"/>
        </w:rPr>
      </w:pPr>
      <w:r>
        <w:rPr>
          <w:rFonts w:hint="eastAsia" w:ascii="宋体" w:hAnsi="宋体"/>
          <w:sz w:val="24"/>
        </w:rPr>
        <w:t xml:space="preserve">                                                   编号：</w:t>
      </w:r>
    </w:p>
    <w:p>
      <w:pPr>
        <w:spacing w:line="360" w:lineRule="auto"/>
        <w:rPr>
          <w:rFonts w:ascii="宋体" w:hAnsi="宋体"/>
          <w:sz w:val="24"/>
        </w:rPr>
      </w:pPr>
    </w:p>
    <w:p>
      <w:pPr>
        <w:spacing w:line="360" w:lineRule="auto"/>
        <w:rPr>
          <w:rFonts w:ascii="宋体" w:hAnsi="宋体"/>
          <w:sz w:val="24"/>
        </w:rPr>
      </w:pPr>
      <w:r>
        <w:rPr>
          <w:rFonts w:hint="eastAsia" w:ascii="宋体" w:hAnsi="宋体"/>
          <w:sz w:val="24"/>
        </w:rPr>
        <w:t>（采购人名称）：</w:t>
      </w:r>
    </w:p>
    <w:p>
      <w:pPr>
        <w:spacing w:line="360" w:lineRule="auto"/>
        <w:rPr>
          <w:rFonts w:ascii="宋体" w:hAnsi="宋体"/>
          <w:sz w:val="24"/>
        </w:rPr>
      </w:pPr>
    </w:p>
    <w:p>
      <w:pPr>
        <w:spacing w:line="360" w:lineRule="auto"/>
        <w:rPr>
          <w:rFonts w:ascii="宋体" w:hAnsi="宋体"/>
          <w:sz w:val="24"/>
        </w:rPr>
      </w:pPr>
      <w:r>
        <w:rPr>
          <w:rFonts w:hint="eastAsia" w:ascii="宋体" w:hAnsi="宋体"/>
          <w:sz w:val="24"/>
        </w:rPr>
        <w:t>鉴于你方与（以下简称</w:t>
      </w:r>
      <w:r>
        <w:rPr>
          <w:rFonts w:hint="eastAsia" w:ascii="宋体" w:hAnsi="宋体"/>
          <w:sz w:val="24"/>
          <w:lang w:eastAsia="zh-CN"/>
        </w:rPr>
        <w:t>响应人</w:t>
      </w:r>
      <w:r>
        <w:rPr>
          <w:rFonts w:hint="eastAsia" w:ascii="宋体" w:hAnsi="宋体"/>
          <w:sz w:val="24"/>
        </w:rPr>
        <w:t>）于年月日签定编号为   的《政府采购合同》（以下简称主合同），且依据该合同的约定，</w:t>
      </w:r>
      <w:r>
        <w:rPr>
          <w:rFonts w:hint="eastAsia" w:ascii="宋体" w:hAnsi="宋体"/>
          <w:sz w:val="24"/>
          <w:lang w:eastAsia="zh-CN"/>
        </w:rPr>
        <w:t>响应人</w:t>
      </w:r>
      <w:r>
        <w:rPr>
          <w:rFonts w:hint="eastAsia" w:ascii="宋体" w:hAnsi="宋体"/>
          <w:sz w:val="24"/>
        </w:rPr>
        <w:t>应在年月日前向你方交纳履约保证金，且可以履约担保函的形式交纳履约保证金。应</w:t>
      </w:r>
      <w:r>
        <w:rPr>
          <w:rFonts w:hint="eastAsia" w:ascii="宋体" w:hAnsi="宋体"/>
          <w:sz w:val="24"/>
          <w:lang w:eastAsia="zh-CN"/>
        </w:rPr>
        <w:t>响应人</w:t>
      </w:r>
      <w:r>
        <w:rPr>
          <w:rFonts w:hint="eastAsia" w:ascii="宋体" w:hAnsi="宋体"/>
          <w:sz w:val="24"/>
        </w:rPr>
        <w:t>的申请，我方以保证的方式向你方提供如下履约保证金担保：</w:t>
      </w:r>
    </w:p>
    <w:p>
      <w:pPr>
        <w:spacing w:line="360" w:lineRule="auto"/>
        <w:ind w:firstLine="480" w:firstLineChars="200"/>
        <w:rPr>
          <w:rFonts w:ascii="宋体" w:hAnsi="宋体"/>
          <w:sz w:val="24"/>
        </w:rPr>
      </w:pPr>
      <w:r>
        <w:rPr>
          <w:rFonts w:hint="eastAsia" w:ascii="宋体" w:hAnsi="宋体"/>
          <w:sz w:val="24"/>
        </w:rPr>
        <w:t>一、保证责任的情形及保证金额</w:t>
      </w:r>
    </w:p>
    <w:p>
      <w:pPr>
        <w:spacing w:line="360" w:lineRule="auto"/>
        <w:ind w:firstLine="480" w:firstLineChars="200"/>
        <w:rPr>
          <w:rFonts w:ascii="宋体" w:hAnsi="宋体"/>
          <w:sz w:val="24"/>
        </w:rPr>
      </w:pPr>
      <w:r>
        <w:rPr>
          <w:rFonts w:hint="eastAsia" w:ascii="宋体" w:hAnsi="宋体"/>
          <w:sz w:val="24"/>
        </w:rPr>
        <w:t>（一）在</w:t>
      </w:r>
      <w:r>
        <w:rPr>
          <w:rFonts w:hint="eastAsia" w:ascii="宋体" w:hAnsi="宋体"/>
          <w:sz w:val="24"/>
          <w:lang w:eastAsia="zh-CN"/>
        </w:rPr>
        <w:t>响应人</w:t>
      </w:r>
      <w:r>
        <w:rPr>
          <w:rFonts w:hint="eastAsia" w:ascii="宋体" w:hAnsi="宋体"/>
          <w:sz w:val="24"/>
        </w:rPr>
        <w:t>出现下列情形之一时，我方承担保证责任：</w:t>
      </w:r>
    </w:p>
    <w:p>
      <w:pPr>
        <w:spacing w:line="360" w:lineRule="auto"/>
        <w:ind w:firstLine="480" w:firstLineChars="200"/>
        <w:rPr>
          <w:rFonts w:ascii="宋体" w:hAnsi="宋体"/>
          <w:sz w:val="24"/>
        </w:rPr>
      </w:pPr>
      <w:r>
        <w:rPr>
          <w:rFonts w:hint="eastAsia" w:ascii="宋体" w:hAnsi="宋体"/>
          <w:sz w:val="24"/>
        </w:rPr>
        <w:t>1．将成交项目转让给他人，或者在响应文件中未说明，且未经采购招标机构人同意，将成交项目分包给他人的；</w:t>
      </w:r>
    </w:p>
    <w:p>
      <w:pPr>
        <w:spacing w:line="360" w:lineRule="auto"/>
        <w:ind w:firstLine="475"/>
        <w:rPr>
          <w:rFonts w:ascii="宋体" w:hAnsi="宋体"/>
          <w:sz w:val="24"/>
        </w:rPr>
      </w:pPr>
      <w:r>
        <w:rPr>
          <w:rFonts w:hint="eastAsia" w:ascii="宋体" w:hAnsi="宋体"/>
          <w:sz w:val="24"/>
        </w:rPr>
        <w:t xml:space="preserve">2．主合同约定的应当缴纳履约保证金的情形: </w:t>
      </w:r>
    </w:p>
    <w:p>
      <w:pPr>
        <w:spacing w:line="360" w:lineRule="auto"/>
        <w:ind w:firstLine="480" w:firstLineChars="200"/>
        <w:rPr>
          <w:rFonts w:ascii="宋体" w:hAnsi="宋体"/>
          <w:sz w:val="24"/>
        </w:rPr>
      </w:pPr>
      <w:r>
        <w:rPr>
          <w:rFonts w:hint="eastAsia" w:ascii="宋体" w:hAnsi="宋体"/>
          <w:sz w:val="24"/>
        </w:rPr>
        <w:t>（1）未按主合同约定的质量、数量和期限供应货物/提供服务/完成工程的；</w:t>
      </w:r>
    </w:p>
    <w:p>
      <w:pPr>
        <w:spacing w:line="360" w:lineRule="auto"/>
        <w:ind w:firstLine="480" w:firstLineChars="200"/>
        <w:rPr>
          <w:rFonts w:ascii="宋体" w:hAnsi="宋体"/>
          <w:sz w:val="24"/>
        </w:rPr>
      </w:pPr>
      <w:r>
        <w:rPr>
          <w:rFonts w:hint="eastAsia" w:ascii="宋体" w:hAnsi="宋体"/>
          <w:sz w:val="24"/>
        </w:rPr>
        <w:t>（2）。</w:t>
      </w:r>
    </w:p>
    <w:p>
      <w:pPr>
        <w:spacing w:line="360" w:lineRule="auto"/>
        <w:ind w:firstLine="480" w:firstLineChars="200"/>
        <w:rPr>
          <w:rFonts w:ascii="宋体" w:hAnsi="宋体"/>
          <w:sz w:val="24"/>
        </w:rPr>
      </w:pPr>
      <w:r>
        <w:rPr>
          <w:rFonts w:hint="eastAsia" w:ascii="宋体" w:hAnsi="宋体"/>
          <w:sz w:val="24"/>
        </w:rPr>
        <w:t>（二）我方的保证范围是主合同约定的合同价款总额的%数额为元（大写），币种为。（即主合同履约保证金金额）</w:t>
      </w:r>
    </w:p>
    <w:p>
      <w:pPr>
        <w:spacing w:line="360" w:lineRule="auto"/>
        <w:ind w:firstLine="480" w:firstLineChars="200"/>
        <w:rPr>
          <w:rFonts w:ascii="宋体" w:hAnsi="宋体"/>
          <w:sz w:val="24"/>
        </w:rPr>
      </w:pPr>
      <w:r>
        <w:rPr>
          <w:rFonts w:hint="eastAsia" w:ascii="宋体" w:hAnsi="宋体"/>
          <w:sz w:val="24"/>
        </w:rPr>
        <w:t>二、保证的方式及保证期间</w:t>
      </w:r>
    </w:p>
    <w:p>
      <w:pPr>
        <w:spacing w:line="360" w:lineRule="auto"/>
        <w:ind w:firstLine="480" w:firstLineChars="200"/>
        <w:rPr>
          <w:rFonts w:ascii="宋体" w:hAnsi="宋体"/>
          <w:sz w:val="24"/>
        </w:rPr>
      </w:pPr>
      <w:r>
        <w:rPr>
          <w:rFonts w:hint="eastAsia" w:ascii="宋体" w:hAnsi="宋体"/>
          <w:sz w:val="24"/>
        </w:rPr>
        <w:t>我方保证的方式为：连带责任保证。</w:t>
      </w:r>
    </w:p>
    <w:p>
      <w:pPr>
        <w:spacing w:line="360" w:lineRule="auto"/>
        <w:ind w:firstLine="480" w:firstLineChars="200"/>
        <w:rPr>
          <w:rFonts w:ascii="宋体" w:hAnsi="宋体"/>
          <w:sz w:val="24"/>
        </w:rPr>
      </w:pPr>
      <w:r>
        <w:rPr>
          <w:rFonts w:hint="eastAsia" w:ascii="宋体" w:hAnsi="宋体"/>
          <w:sz w:val="24"/>
        </w:rPr>
        <w:t>我方保证的期间为：自本合同生效之日起至</w:t>
      </w:r>
      <w:r>
        <w:rPr>
          <w:rFonts w:hint="eastAsia" w:ascii="宋体" w:hAnsi="宋体"/>
          <w:sz w:val="24"/>
          <w:lang w:eastAsia="zh-CN"/>
        </w:rPr>
        <w:t>响应人</w:t>
      </w:r>
      <w:r>
        <w:rPr>
          <w:rFonts w:hint="eastAsia" w:ascii="宋体" w:hAnsi="宋体"/>
          <w:sz w:val="24"/>
        </w:rPr>
        <w:t>按照主合同约定的供货/完工期限届满后日内。</w:t>
      </w:r>
    </w:p>
    <w:p>
      <w:pPr>
        <w:spacing w:line="360" w:lineRule="auto"/>
        <w:ind w:firstLine="480" w:firstLineChars="200"/>
        <w:rPr>
          <w:rFonts w:ascii="宋体" w:hAnsi="宋体"/>
          <w:sz w:val="24"/>
        </w:rPr>
      </w:pPr>
      <w:r>
        <w:rPr>
          <w:rFonts w:hint="eastAsia" w:ascii="宋体" w:hAnsi="宋体"/>
          <w:sz w:val="24"/>
        </w:rPr>
        <w:t>如果</w:t>
      </w:r>
      <w:r>
        <w:rPr>
          <w:rFonts w:hint="eastAsia" w:ascii="宋体" w:hAnsi="宋体"/>
          <w:sz w:val="24"/>
          <w:lang w:eastAsia="zh-CN"/>
        </w:rPr>
        <w:t>响应人</w:t>
      </w:r>
      <w:r>
        <w:rPr>
          <w:rFonts w:hint="eastAsia" w:ascii="宋体" w:hAnsi="宋体"/>
          <w:sz w:val="24"/>
        </w:rPr>
        <w:t>未按主合同约定向贵方供应货物/提供服务/完成工程的，由我方在保证金额内向你方支付上述款项。</w:t>
      </w:r>
    </w:p>
    <w:p>
      <w:pPr>
        <w:spacing w:line="360" w:lineRule="auto"/>
        <w:ind w:firstLine="480" w:firstLineChars="200"/>
        <w:rPr>
          <w:rFonts w:ascii="宋体" w:hAnsi="宋体"/>
          <w:sz w:val="24"/>
        </w:rPr>
      </w:pPr>
      <w:r>
        <w:rPr>
          <w:rFonts w:hint="eastAsia" w:ascii="宋体" w:hAnsi="宋体"/>
          <w:sz w:val="24"/>
        </w:rPr>
        <w:t>三、承担保证责任的程序</w:t>
      </w:r>
    </w:p>
    <w:p>
      <w:pPr>
        <w:spacing w:line="360" w:lineRule="auto"/>
        <w:ind w:firstLine="480" w:firstLineChars="200"/>
        <w:rPr>
          <w:rFonts w:ascii="宋体" w:hAnsi="宋体"/>
          <w:sz w:val="24"/>
        </w:rPr>
      </w:pPr>
      <w:r>
        <w:rPr>
          <w:rFonts w:hint="eastAsia" w:ascii="宋体" w:hAnsi="宋体"/>
          <w:sz w:val="24"/>
        </w:rPr>
        <w:t>1．你方要求我方承担保证责任的，应在本保函保证期间内向我方发出书面索赔通知。索赔通知应写明要求索赔的金额，支付款项应到达的帐号。并附有证明</w:t>
      </w:r>
      <w:r>
        <w:rPr>
          <w:rFonts w:hint="eastAsia" w:ascii="宋体" w:hAnsi="宋体"/>
          <w:sz w:val="24"/>
          <w:lang w:eastAsia="zh-CN"/>
        </w:rPr>
        <w:t>响应人</w:t>
      </w:r>
      <w:r>
        <w:rPr>
          <w:rFonts w:hint="eastAsia" w:ascii="宋体" w:hAnsi="宋体"/>
          <w:sz w:val="24"/>
        </w:rPr>
        <w:t>违约事实的证明材料。</w:t>
      </w:r>
    </w:p>
    <w:p>
      <w:pPr>
        <w:spacing w:line="360" w:lineRule="auto"/>
        <w:ind w:firstLine="480" w:firstLineChars="200"/>
        <w:rPr>
          <w:rFonts w:ascii="宋体" w:hAnsi="宋体"/>
          <w:sz w:val="24"/>
        </w:rPr>
      </w:pPr>
      <w:r>
        <w:rPr>
          <w:rFonts w:hint="eastAsia" w:ascii="宋体" w:hAnsi="宋体"/>
          <w:sz w:val="24"/>
        </w:rPr>
        <w:t>如果你方与</w:t>
      </w:r>
      <w:r>
        <w:rPr>
          <w:rFonts w:hint="eastAsia" w:ascii="宋体" w:hAnsi="宋体"/>
          <w:sz w:val="24"/>
          <w:lang w:eastAsia="zh-CN"/>
        </w:rPr>
        <w:t>响应人</w:t>
      </w:r>
      <w:r>
        <w:rPr>
          <w:rFonts w:hint="eastAsia" w:ascii="宋体" w:hAnsi="宋体"/>
          <w:sz w:val="24"/>
        </w:rPr>
        <w:t>因货物质量问题产生争议，你方还需同时提供部门出具的质量检测报告，或经诉讼（仲裁）程序裁决后的裁决书、调解书，本保证人即按照检测结果或裁决书、调解书决定是否承担保证责任。</w:t>
      </w:r>
    </w:p>
    <w:p>
      <w:pPr>
        <w:spacing w:line="360" w:lineRule="auto"/>
        <w:ind w:firstLine="480" w:firstLineChars="200"/>
        <w:rPr>
          <w:rFonts w:ascii="宋体" w:hAnsi="宋体"/>
          <w:sz w:val="24"/>
        </w:rPr>
      </w:pPr>
      <w:r>
        <w:rPr>
          <w:rFonts w:hint="eastAsia" w:ascii="宋体" w:hAnsi="宋体"/>
          <w:sz w:val="24"/>
        </w:rPr>
        <w:t>2． 我方收到你方的书面索赔通知及相应证明材料，在工作日内进行核定后按照本保函的承诺承担保证责任。</w:t>
      </w:r>
    </w:p>
    <w:p>
      <w:pPr>
        <w:spacing w:line="360" w:lineRule="auto"/>
        <w:ind w:firstLine="480" w:firstLineChars="200"/>
        <w:rPr>
          <w:rFonts w:ascii="宋体" w:hAnsi="宋体"/>
          <w:sz w:val="24"/>
        </w:rPr>
      </w:pPr>
      <w:r>
        <w:rPr>
          <w:rFonts w:hint="eastAsia" w:ascii="宋体" w:hAnsi="宋体"/>
          <w:sz w:val="24"/>
        </w:rPr>
        <w:t>四、保证责任的终止</w:t>
      </w:r>
    </w:p>
    <w:p>
      <w:pPr>
        <w:spacing w:line="360" w:lineRule="auto"/>
        <w:ind w:firstLine="480" w:firstLineChars="200"/>
        <w:rPr>
          <w:rFonts w:ascii="宋体" w:hAnsi="宋体"/>
          <w:sz w:val="24"/>
        </w:rPr>
      </w:pPr>
      <w:r>
        <w:rPr>
          <w:rFonts w:hint="eastAsia" w:ascii="宋体" w:hAnsi="宋体"/>
          <w:sz w:val="24"/>
        </w:rPr>
        <w:t>1．保证期间届满你方未向我方书面主张保证责任的，自保证期间届满次日起，我方保证责任自动终止。保证期间届满前，主合同约定的货物\工程\服务全部验收合格的，自验收合格日起，我方保证责任自动终止。</w:t>
      </w:r>
    </w:p>
    <w:p>
      <w:pPr>
        <w:spacing w:line="360" w:lineRule="auto"/>
        <w:ind w:firstLine="480" w:firstLineChars="200"/>
        <w:rPr>
          <w:rFonts w:ascii="宋体" w:hAnsi="宋体"/>
          <w:sz w:val="24"/>
        </w:rPr>
      </w:pPr>
      <w:r>
        <w:rPr>
          <w:rFonts w:hint="eastAsia" w:ascii="宋体" w:hAnsi="宋体"/>
          <w:sz w:val="24"/>
        </w:rPr>
        <w:t>2．我方按照本保函向你方履行了保证责任后，自我方向你方支付款项（支付款项从我方账户划出）之日起，保证责任即终止。</w:t>
      </w:r>
    </w:p>
    <w:p>
      <w:pPr>
        <w:spacing w:line="360" w:lineRule="auto"/>
        <w:ind w:firstLine="480" w:firstLineChars="200"/>
        <w:rPr>
          <w:rFonts w:ascii="宋体" w:hAnsi="宋体"/>
          <w:sz w:val="24"/>
        </w:rPr>
      </w:pPr>
      <w:r>
        <w:rPr>
          <w:rFonts w:hint="eastAsia" w:ascii="宋体" w:hAnsi="宋体"/>
          <w:sz w:val="24"/>
        </w:rPr>
        <w:t>3．按照法律法规的规定或出现应终止我方保证责任的其它情形的，我方在本保函项下的保证责任亦终止。</w:t>
      </w:r>
    </w:p>
    <w:p>
      <w:pPr>
        <w:spacing w:line="360" w:lineRule="auto"/>
        <w:ind w:firstLine="480" w:firstLineChars="200"/>
        <w:rPr>
          <w:rFonts w:ascii="宋体" w:hAnsi="宋体"/>
          <w:sz w:val="24"/>
        </w:rPr>
      </w:pPr>
      <w:r>
        <w:rPr>
          <w:rFonts w:hint="eastAsia" w:ascii="宋体" w:hAnsi="宋体"/>
          <w:sz w:val="24"/>
        </w:rPr>
        <w:t>4．你方与</w:t>
      </w:r>
      <w:r>
        <w:rPr>
          <w:rFonts w:hint="eastAsia" w:ascii="宋体" w:hAnsi="宋体"/>
          <w:sz w:val="24"/>
          <w:lang w:eastAsia="zh-CN"/>
        </w:rPr>
        <w:t>响应人</w:t>
      </w:r>
      <w:r>
        <w:rPr>
          <w:rFonts w:hint="eastAsia" w:ascii="宋体" w:hAnsi="宋体"/>
          <w:sz w:val="24"/>
        </w:rPr>
        <w:t>修改主合同，加重我方保证责任的，我方对加重部分不承担保证责任，但该等修改事先经我方书面同意的除外；你方与</w:t>
      </w:r>
      <w:r>
        <w:rPr>
          <w:rFonts w:hint="eastAsia" w:ascii="宋体" w:hAnsi="宋体"/>
          <w:sz w:val="24"/>
          <w:lang w:eastAsia="zh-CN"/>
        </w:rPr>
        <w:t>响应人</w:t>
      </w:r>
      <w:r>
        <w:rPr>
          <w:rFonts w:hint="eastAsia" w:ascii="宋体" w:hAnsi="宋体"/>
          <w:sz w:val="24"/>
        </w:rPr>
        <w:t>修改主合同履行期限，我方保证期间仍依修改前的履行期限计算，但该等修改事先经我方书面同意的除外。</w:t>
      </w:r>
    </w:p>
    <w:p>
      <w:pPr>
        <w:spacing w:line="360" w:lineRule="auto"/>
        <w:ind w:firstLine="480" w:firstLineChars="200"/>
        <w:rPr>
          <w:rFonts w:ascii="宋体" w:hAnsi="宋体"/>
          <w:sz w:val="24"/>
        </w:rPr>
      </w:pPr>
      <w:r>
        <w:rPr>
          <w:rFonts w:hint="eastAsia" w:ascii="宋体" w:hAnsi="宋体"/>
          <w:sz w:val="24"/>
        </w:rPr>
        <w:t>五、免责条款</w:t>
      </w:r>
    </w:p>
    <w:p>
      <w:pPr>
        <w:spacing w:line="360" w:lineRule="auto"/>
        <w:ind w:firstLine="480" w:firstLineChars="200"/>
        <w:rPr>
          <w:rFonts w:ascii="宋体" w:hAnsi="宋体"/>
          <w:sz w:val="24"/>
        </w:rPr>
      </w:pPr>
      <w:r>
        <w:rPr>
          <w:rFonts w:hint="eastAsia" w:ascii="宋体" w:hAnsi="宋体"/>
          <w:sz w:val="24"/>
        </w:rPr>
        <w:t>1．因你方违反主合同约定致使</w:t>
      </w:r>
      <w:r>
        <w:rPr>
          <w:rFonts w:hint="eastAsia" w:ascii="宋体" w:hAnsi="宋体"/>
          <w:sz w:val="24"/>
          <w:lang w:eastAsia="zh-CN"/>
        </w:rPr>
        <w:t>响应人</w:t>
      </w:r>
      <w:r>
        <w:rPr>
          <w:rFonts w:hint="eastAsia" w:ascii="宋体" w:hAnsi="宋体"/>
          <w:sz w:val="24"/>
        </w:rPr>
        <w:t>不能履行义务的，我方不承担保证责任。</w:t>
      </w:r>
    </w:p>
    <w:p>
      <w:pPr>
        <w:spacing w:line="360" w:lineRule="auto"/>
        <w:ind w:firstLine="480" w:firstLineChars="200"/>
        <w:rPr>
          <w:rFonts w:ascii="宋体" w:hAnsi="宋体"/>
          <w:sz w:val="24"/>
        </w:rPr>
      </w:pPr>
      <w:r>
        <w:rPr>
          <w:rFonts w:hint="eastAsia" w:ascii="宋体" w:hAnsi="宋体"/>
          <w:sz w:val="24"/>
        </w:rPr>
        <w:t>2．依照法律法规的规定或你方与</w:t>
      </w:r>
      <w:r>
        <w:rPr>
          <w:rFonts w:hint="eastAsia" w:ascii="宋体" w:hAnsi="宋体"/>
          <w:sz w:val="24"/>
          <w:lang w:eastAsia="zh-CN"/>
        </w:rPr>
        <w:t>响应人</w:t>
      </w:r>
      <w:r>
        <w:rPr>
          <w:rFonts w:hint="eastAsia" w:ascii="宋体" w:hAnsi="宋体"/>
          <w:sz w:val="24"/>
        </w:rPr>
        <w:t>的另行约定，全部或者部分免除</w:t>
      </w:r>
      <w:r>
        <w:rPr>
          <w:rFonts w:hint="eastAsia" w:ascii="宋体" w:hAnsi="宋体"/>
          <w:sz w:val="24"/>
          <w:lang w:eastAsia="zh-CN"/>
        </w:rPr>
        <w:t>响应人</w:t>
      </w:r>
      <w:r>
        <w:rPr>
          <w:rFonts w:hint="eastAsia" w:ascii="宋体" w:hAnsi="宋体"/>
          <w:sz w:val="24"/>
        </w:rPr>
        <w:t>应缴纳的保证金义务的，我方亦免除相应的保证责任。</w:t>
      </w:r>
    </w:p>
    <w:p>
      <w:pPr>
        <w:spacing w:line="360" w:lineRule="auto"/>
        <w:ind w:firstLine="480" w:firstLineChars="200"/>
        <w:rPr>
          <w:rFonts w:ascii="宋体" w:hAnsi="宋体"/>
          <w:sz w:val="24"/>
        </w:rPr>
      </w:pPr>
      <w:r>
        <w:rPr>
          <w:rFonts w:hint="eastAsia" w:ascii="宋体" w:hAnsi="宋体"/>
          <w:sz w:val="24"/>
        </w:rPr>
        <w:t>3．因不可抗力造成</w:t>
      </w:r>
      <w:r>
        <w:rPr>
          <w:rFonts w:hint="eastAsia" w:ascii="宋体" w:hAnsi="宋体"/>
          <w:sz w:val="24"/>
          <w:lang w:eastAsia="zh-CN"/>
        </w:rPr>
        <w:t>响应人</w:t>
      </w:r>
      <w:r>
        <w:rPr>
          <w:rFonts w:hint="eastAsia" w:ascii="宋体" w:hAnsi="宋体"/>
          <w:sz w:val="24"/>
        </w:rPr>
        <w:t>不能履行供货义务的，我方不承担保证责任。</w:t>
      </w:r>
    </w:p>
    <w:p>
      <w:pPr>
        <w:spacing w:line="360" w:lineRule="auto"/>
        <w:ind w:firstLine="480" w:firstLineChars="200"/>
        <w:rPr>
          <w:rFonts w:ascii="宋体" w:hAnsi="宋体"/>
          <w:sz w:val="24"/>
        </w:rPr>
      </w:pPr>
      <w:r>
        <w:rPr>
          <w:rFonts w:hint="eastAsia" w:ascii="宋体" w:hAnsi="宋体"/>
          <w:sz w:val="24"/>
        </w:rPr>
        <w:t>六、争议的解决</w:t>
      </w:r>
    </w:p>
    <w:p>
      <w:pPr>
        <w:spacing w:line="360" w:lineRule="auto"/>
        <w:ind w:firstLine="480" w:firstLineChars="200"/>
        <w:rPr>
          <w:rFonts w:ascii="宋体" w:hAnsi="宋体"/>
          <w:sz w:val="24"/>
        </w:rPr>
      </w:pPr>
      <w:r>
        <w:rPr>
          <w:rFonts w:hint="eastAsia" w:ascii="宋体" w:hAnsi="宋体"/>
          <w:sz w:val="24"/>
        </w:rPr>
        <w:t>因本保函发生的纠纷，由你我双方协商解决，协商不成的，通过诉讼程序解决，诉讼管辖地法院为法院。</w:t>
      </w:r>
    </w:p>
    <w:p>
      <w:pPr>
        <w:spacing w:line="360" w:lineRule="auto"/>
        <w:ind w:firstLine="480" w:firstLineChars="200"/>
        <w:rPr>
          <w:rFonts w:ascii="宋体" w:hAnsi="宋体"/>
          <w:sz w:val="24"/>
        </w:rPr>
      </w:pPr>
      <w:r>
        <w:rPr>
          <w:rFonts w:hint="eastAsia" w:ascii="宋体" w:hAnsi="宋体"/>
          <w:sz w:val="24"/>
        </w:rPr>
        <w:t>七、保函的生效</w:t>
      </w:r>
    </w:p>
    <w:p>
      <w:pPr>
        <w:spacing w:line="360" w:lineRule="auto"/>
        <w:ind w:firstLine="480" w:firstLineChars="200"/>
        <w:rPr>
          <w:rFonts w:ascii="宋体" w:hAnsi="宋体"/>
          <w:sz w:val="24"/>
        </w:rPr>
      </w:pPr>
      <w:r>
        <w:rPr>
          <w:rFonts w:hint="eastAsia" w:ascii="宋体" w:hAnsi="宋体"/>
          <w:sz w:val="24"/>
        </w:rPr>
        <w:t>本保函自我方加盖公章之日起生效。</w:t>
      </w:r>
    </w:p>
    <w:p>
      <w:pPr>
        <w:spacing w:line="360" w:lineRule="auto"/>
        <w:rPr>
          <w:rFonts w:ascii="宋体" w:hAnsi="宋体"/>
          <w:sz w:val="24"/>
        </w:rPr>
      </w:pPr>
    </w:p>
    <w:p>
      <w:pPr>
        <w:spacing w:line="360" w:lineRule="auto"/>
        <w:rPr>
          <w:rFonts w:ascii="宋体" w:hAnsi="宋体"/>
          <w:sz w:val="24"/>
        </w:rPr>
      </w:pPr>
    </w:p>
    <w:p>
      <w:pPr>
        <w:spacing w:line="360" w:lineRule="auto"/>
        <w:ind w:firstLine="5400" w:firstLineChars="2250"/>
        <w:rPr>
          <w:rFonts w:ascii="宋体" w:hAnsi="宋体"/>
          <w:sz w:val="24"/>
        </w:rPr>
      </w:pPr>
      <w:r>
        <w:rPr>
          <w:rFonts w:hint="eastAsia" w:ascii="宋体" w:hAnsi="宋体"/>
          <w:sz w:val="24"/>
        </w:rPr>
        <w:t>保证人：（公章）</w:t>
      </w:r>
    </w:p>
    <w:p>
      <w:pPr>
        <w:spacing w:line="360" w:lineRule="auto"/>
        <w:rPr>
          <w:rFonts w:ascii="宋体" w:hAnsi="宋体"/>
          <w:sz w:val="24"/>
        </w:rPr>
      </w:pPr>
    </w:p>
    <w:p>
      <w:pPr>
        <w:spacing w:line="360" w:lineRule="auto"/>
        <w:rPr>
          <w:rFonts w:asciiTheme="minorEastAsia" w:hAnsiTheme="minorEastAsia"/>
          <w:b/>
          <w:sz w:val="24"/>
        </w:rPr>
      </w:pPr>
      <w:r>
        <w:rPr>
          <w:rFonts w:hint="eastAsia" w:ascii="宋体" w:hAnsi="宋体"/>
          <w:sz w:val="24"/>
        </w:rPr>
        <w:t xml:space="preserve">                                            年     月      日</w:t>
      </w:r>
    </w:p>
    <w:p>
      <w:pPr>
        <w:widowControl/>
        <w:jc w:val="left"/>
        <w:rPr>
          <w:rFonts w:asciiTheme="minorEastAsia" w:hAnsiTheme="minorEastAsia"/>
        </w:rPr>
      </w:pPr>
      <w:r>
        <w:rPr>
          <w:rFonts w:asciiTheme="minorEastAsia" w:hAnsiTheme="minorEastAsia"/>
        </w:rPr>
        <w:br w:type="page"/>
      </w:r>
    </w:p>
    <w:p>
      <w:pPr>
        <w:pStyle w:val="3"/>
        <w:spacing w:before="0" w:after="0"/>
        <w:jc w:val="center"/>
        <w:rPr>
          <w:rFonts w:asciiTheme="minorEastAsia" w:hAnsiTheme="minorEastAsia"/>
          <w:sz w:val="32"/>
        </w:rPr>
      </w:pPr>
      <w:bookmarkStart w:id="32" w:name="_Toc43371488"/>
      <w:r>
        <w:rPr>
          <w:rFonts w:hint="eastAsia" w:asciiTheme="minorEastAsia" w:hAnsiTheme="minorEastAsia"/>
          <w:sz w:val="32"/>
        </w:rPr>
        <w:t>第三章 评分办法</w:t>
      </w:r>
      <w:bookmarkEnd w:id="32"/>
    </w:p>
    <w:p>
      <w:pPr>
        <w:pStyle w:val="33"/>
        <w:spacing w:before="0" w:after="0"/>
        <w:rPr>
          <w:rFonts w:hint="eastAsia"/>
          <w:sz w:val="28"/>
        </w:rPr>
      </w:pPr>
      <w:bookmarkStart w:id="33" w:name="_Toc43371489"/>
      <w:r>
        <w:rPr>
          <w:rFonts w:hint="eastAsia"/>
          <w:sz w:val="28"/>
        </w:rPr>
        <w:t>评分办法前附表</w:t>
      </w:r>
      <w:bookmarkEnd w:id="33"/>
    </w:p>
    <w:tbl>
      <w:tblPr>
        <w:tblStyle w:val="45"/>
        <w:tblW w:w="5052"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40"/>
        <w:gridCol w:w="1076"/>
        <w:gridCol w:w="1592"/>
        <w:gridCol w:w="599"/>
        <w:gridCol w:w="912"/>
        <w:gridCol w:w="78"/>
        <w:gridCol w:w="2298"/>
        <w:gridCol w:w="145"/>
        <w:gridCol w:w="1171"/>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3" w:hRule="atLeast"/>
        </w:trPr>
        <w:tc>
          <w:tcPr>
            <w:tcW w:w="5000" w:type="pct"/>
            <w:gridSpan w:val="9"/>
            <w:tcBorders>
              <w:top w:val="single" w:color="auto" w:sz="4" w:space="0"/>
              <w:bottom w:val="single" w:color="auto" w:sz="4" w:space="0"/>
              <w:right w:val="single" w:color="auto" w:sz="4" w:space="0"/>
            </w:tcBorders>
            <w:vAlign w:val="center"/>
          </w:tcPr>
          <w:p>
            <w:pPr>
              <w:adjustRightInd w:val="0"/>
              <w:spacing w:line="360" w:lineRule="auto"/>
              <w:jc w:val="center"/>
              <w:textAlignment w:val="baseline"/>
              <w:rPr>
                <w:rFonts w:ascii="宋体" w:hAnsi="宋体" w:cs="宋体"/>
                <w:szCs w:val="21"/>
              </w:rPr>
            </w:pPr>
            <w:r>
              <w:rPr>
                <w:rFonts w:hint="eastAsia" w:ascii="宋体" w:hAnsi="宋体" w:cs="宋体"/>
                <w:szCs w:val="21"/>
              </w:rPr>
              <w:t>初步评审</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3" w:hRule="atLeast"/>
        </w:trPr>
        <w:tc>
          <w:tcPr>
            <w:tcW w:w="1054" w:type="pct"/>
            <w:gridSpan w:val="2"/>
            <w:tcBorders>
              <w:top w:val="single" w:color="auto" w:sz="4" w:space="0"/>
              <w:bottom w:val="single" w:color="auto" w:sz="4" w:space="0"/>
              <w:right w:val="single" w:color="auto" w:sz="4" w:space="0"/>
            </w:tcBorders>
            <w:vAlign w:val="center"/>
          </w:tcPr>
          <w:p>
            <w:pPr>
              <w:adjustRightInd w:val="0"/>
              <w:spacing w:line="360" w:lineRule="auto"/>
              <w:jc w:val="center"/>
              <w:textAlignment w:val="baseline"/>
              <w:rPr>
                <w:rFonts w:hint="eastAsia" w:ascii="宋体" w:hAnsi="宋体" w:cs="宋体"/>
                <w:szCs w:val="21"/>
              </w:rPr>
            </w:pPr>
            <w:r>
              <w:rPr>
                <w:rFonts w:hint="eastAsia" w:ascii="宋体" w:hAnsi="宋体" w:cs="宋体"/>
                <w:szCs w:val="21"/>
              </w:rPr>
              <w:t>条款号</w:t>
            </w:r>
          </w:p>
        </w:tc>
        <w:tc>
          <w:tcPr>
            <w:tcW w:w="924" w:type="pct"/>
            <w:tcBorders>
              <w:top w:val="single" w:color="auto" w:sz="4" w:space="0"/>
              <w:left w:val="single" w:color="auto" w:sz="4" w:space="0"/>
              <w:bottom w:val="single" w:color="auto" w:sz="4" w:space="0"/>
              <w:right w:val="single" w:color="auto" w:sz="4" w:space="0"/>
            </w:tcBorders>
            <w:vAlign w:val="center"/>
          </w:tcPr>
          <w:p>
            <w:pPr>
              <w:adjustRightInd w:val="0"/>
              <w:spacing w:line="360" w:lineRule="auto"/>
              <w:jc w:val="center"/>
              <w:textAlignment w:val="baseline"/>
              <w:rPr>
                <w:rFonts w:hint="eastAsia" w:ascii="宋体" w:hAnsi="宋体" w:cs="宋体"/>
                <w:szCs w:val="21"/>
              </w:rPr>
            </w:pPr>
            <w:r>
              <w:rPr>
                <w:rFonts w:hint="eastAsia" w:ascii="宋体" w:hAnsi="宋体" w:cs="宋体"/>
                <w:szCs w:val="21"/>
              </w:rPr>
              <w:t>评审因素</w:t>
            </w:r>
          </w:p>
        </w:tc>
        <w:tc>
          <w:tcPr>
            <w:tcW w:w="3021" w:type="pct"/>
            <w:gridSpan w:val="6"/>
            <w:tcBorders>
              <w:top w:val="single" w:color="auto" w:sz="4" w:space="0"/>
              <w:left w:val="single" w:color="auto" w:sz="4" w:space="0"/>
              <w:bottom w:val="single" w:color="auto" w:sz="4" w:space="0"/>
              <w:right w:val="single" w:color="auto" w:sz="4" w:space="0"/>
            </w:tcBorders>
            <w:vAlign w:val="center"/>
          </w:tcPr>
          <w:p>
            <w:pPr>
              <w:adjustRightInd w:val="0"/>
              <w:spacing w:line="360" w:lineRule="auto"/>
              <w:jc w:val="center"/>
              <w:textAlignment w:val="baseline"/>
              <w:rPr>
                <w:rFonts w:hint="eastAsia" w:ascii="宋体" w:hAnsi="宋体" w:cs="宋体"/>
                <w:szCs w:val="21"/>
              </w:rPr>
            </w:pPr>
            <w:r>
              <w:rPr>
                <w:rFonts w:hint="eastAsia" w:ascii="宋体" w:hAnsi="宋体" w:cs="宋体"/>
                <w:szCs w:val="21"/>
              </w:rPr>
              <w:t>评审标准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3" w:hRule="atLeast"/>
        </w:trPr>
        <w:tc>
          <w:tcPr>
            <w:tcW w:w="429" w:type="pct"/>
            <w:vMerge w:val="restart"/>
            <w:tcBorders>
              <w:top w:val="single" w:color="auto" w:sz="4" w:space="0"/>
              <w:right w:val="single" w:color="auto" w:sz="4" w:space="0"/>
            </w:tcBorders>
            <w:vAlign w:val="center"/>
          </w:tcPr>
          <w:p>
            <w:pPr>
              <w:pStyle w:val="2"/>
              <w:spacing w:line="240" w:lineRule="atLeast"/>
              <w:jc w:val="center"/>
              <w:rPr>
                <w:rFonts w:hint="default" w:hAnsi="宋体" w:eastAsia="宋体"/>
                <w:color w:val="auto"/>
                <w:sz w:val="21"/>
                <w:szCs w:val="21"/>
                <w:lang w:val="en-US" w:eastAsia="zh-CN"/>
              </w:rPr>
            </w:pPr>
            <w:r>
              <w:rPr>
                <w:rFonts w:hint="eastAsia" w:hAnsi="宋体"/>
                <w:color w:val="auto"/>
                <w:sz w:val="21"/>
                <w:szCs w:val="21"/>
                <w:lang w:val="en-US" w:eastAsia="zh-CN"/>
              </w:rPr>
              <w:t xml:space="preserve">2.1.1 </w:t>
            </w:r>
          </w:p>
        </w:tc>
        <w:tc>
          <w:tcPr>
            <w:tcW w:w="624" w:type="pct"/>
            <w:vMerge w:val="restart"/>
            <w:tcBorders>
              <w:top w:val="single" w:color="auto" w:sz="4" w:space="0"/>
              <w:right w:val="single" w:color="auto" w:sz="4" w:space="0"/>
            </w:tcBorders>
            <w:vAlign w:val="center"/>
          </w:tcPr>
          <w:p>
            <w:pPr>
              <w:pStyle w:val="2"/>
              <w:spacing w:line="240" w:lineRule="atLeast"/>
              <w:jc w:val="center"/>
              <w:rPr>
                <w:rFonts w:hAnsi="宋体"/>
                <w:color w:val="auto"/>
                <w:sz w:val="21"/>
                <w:szCs w:val="21"/>
              </w:rPr>
            </w:pPr>
            <w:r>
              <w:rPr>
                <w:rFonts w:hint="eastAsia" w:hAnsi="宋体"/>
                <w:color w:val="auto"/>
                <w:sz w:val="21"/>
                <w:szCs w:val="21"/>
              </w:rPr>
              <w:t>形</w:t>
            </w:r>
          </w:p>
          <w:p>
            <w:pPr>
              <w:pStyle w:val="2"/>
              <w:spacing w:line="240" w:lineRule="atLeast"/>
              <w:jc w:val="center"/>
              <w:rPr>
                <w:rFonts w:hAnsi="宋体"/>
                <w:color w:val="auto"/>
                <w:sz w:val="21"/>
                <w:szCs w:val="21"/>
              </w:rPr>
            </w:pPr>
            <w:r>
              <w:rPr>
                <w:rFonts w:hint="eastAsia" w:hAnsi="宋体"/>
                <w:color w:val="auto"/>
                <w:sz w:val="21"/>
                <w:szCs w:val="21"/>
              </w:rPr>
              <w:t>式</w:t>
            </w:r>
          </w:p>
          <w:p>
            <w:pPr>
              <w:pStyle w:val="2"/>
              <w:spacing w:line="240" w:lineRule="atLeast"/>
              <w:jc w:val="center"/>
              <w:rPr>
                <w:rFonts w:hAnsi="宋体"/>
                <w:color w:val="auto"/>
                <w:sz w:val="21"/>
                <w:szCs w:val="21"/>
              </w:rPr>
            </w:pPr>
            <w:r>
              <w:rPr>
                <w:rFonts w:hint="eastAsia" w:hAnsi="宋体"/>
                <w:color w:val="auto"/>
                <w:sz w:val="21"/>
                <w:szCs w:val="21"/>
              </w:rPr>
              <w:t>评</w:t>
            </w:r>
          </w:p>
          <w:p>
            <w:pPr>
              <w:pStyle w:val="2"/>
              <w:spacing w:line="240" w:lineRule="atLeast"/>
              <w:jc w:val="center"/>
              <w:rPr>
                <w:rFonts w:hAnsi="宋体"/>
                <w:color w:val="auto"/>
                <w:sz w:val="21"/>
                <w:szCs w:val="21"/>
              </w:rPr>
            </w:pPr>
            <w:r>
              <w:rPr>
                <w:rFonts w:hint="eastAsia" w:hAnsi="宋体"/>
                <w:color w:val="auto"/>
                <w:sz w:val="21"/>
                <w:szCs w:val="21"/>
              </w:rPr>
              <w:t>审</w:t>
            </w:r>
          </w:p>
          <w:p>
            <w:pPr>
              <w:pStyle w:val="2"/>
              <w:spacing w:line="240" w:lineRule="atLeast"/>
              <w:jc w:val="center"/>
              <w:rPr>
                <w:rFonts w:hAnsi="宋体"/>
                <w:color w:val="auto"/>
                <w:sz w:val="21"/>
                <w:szCs w:val="21"/>
              </w:rPr>
            </w:pPr>
            <w:r>
              <w:rPr>
                <w:rFonts w:hint="eastAsia" w:hAnsi="宋体"/>
                <w:color w:val="auto"/>
                <w:sz w:val="21"/>
                <w:szCs w:val="21"/>
              </w:rPr>
              <w:t>标</w:t>
            </w:r>
          </w:p>
        </w:tc>
        <w:tc>
          <w:tcPr>
            <w:tcW w:w="924" w:type="pct"/>
            <w:tcBorders>
              <w:top w:val="single" w:color="auto" w:sz="4" w:space="0"/>
              <w:left w:val="single" w:color="auto" w:sz="4" w:space="0"/>
              <w:bottom w:val="single" w:color="auto" w:sz="4" w:space="0"/>
              <w:right w:val="single" w:color="auto" w:sz="4" w:space="0"/>
            </w:tcBorders>
            <w:vAlign w:val="center"/>
          </w:tcPr>
          <w:p>
            <w:pPr>
              <w:pStyle w:val="2"/>
              <w:spacing w:line="240" w:lineRule="atLeast"/>
              <w:jc w:val="center"/>
              <w:rPr>
                <w:rFonts w:hAnsi="宋体"/>
                <w:color w:val="auto"/>
                <w:sz w:val="21"/>
                <w:szCs w:val="21"/>
              </w:rPr>
            </w:pPr>
            <w:r>
              <w:rPr>
                <w:rFonts w:hint="eastAsia" w:hAnsi="宋体"/>
                <w:color w:val="auto"/>
                <w:sz w:val="21"/>
                <w:szCs w:val="21"/>
                <w:lang w:eastAsia="zh-CN"/>
              </w:rPr>
              <w:t>响应人</w:t>
            </w:r>
            <w:r>
              <w:rPr>
                <w:rFonts w:hint="eastAsia" w:hAnsi="宋体"/>
                <w:color w:val="auto"/>
                <w:sz w:val="21"/>
                <w:szCs w:val="21"/>
              </w:rPr>
              <w:t>名称</w:t>
            </w:r>
          </w:p>
        </w:tc>
        <w:tc>
          <w:tcPr>
            <w:tcW w:w="3021" w:type="pct"/>
            <w:gridSpan w:val="6"/>
            <w:tcBorders>
              <w:top w:val="single" w:color="auto" w:sz="4" w:space="0"/>
              <w:left w:val="single" w:color="auto" w:sz="4" w:space="0"/>
              <w:bottom w:val="single" w:color="auto" w:sz="4" w:space="0"/>
              <w:right w:val="single" w:color="auto" w:sz="4" w:space="0"/>
            </w:tcBorders>
            <w:vAlign w:val="center"/>
          </w:tcPr>
          <w:p>
            <w:pPr>
              <w:pStyle w:val="2"/>
              <w:spacing w:line="240" w:lineRule="atLeast"/>
              <w:jc w:val="center"/>
              <w:rPr>
                <w:rFonts w:hAnsi="宋体"/>
                <w:color w:val="auto"/>
                <w:sz w:val="21"/>
                <w:szCs w:val="21"/>
              </w:rPr>
            </w:pPr>
            <w:r>
              <w:rPr>
                <w:rFonts w:hint="eastAsia" w:hAnsi="宋体"/>
                <w:color w:val="auto"/>
                <w:sz w:val="21"/>
                <w:szCs w:val="21"/>
              </w:rPr>
              <w:t>与营业执照、资质证书、安全生产许可证一致</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3" w:hRule="atLeast"/>
        </w:trPr>
        <w:tc>
          <w:tcPr>
            <w:tcW w:w="429" w:type="pct"/>
            <w:vMerge w:val="continue"/>
            <w:tcBorders>
              <w:right w:val="single" w:color="auto" w:sz="4" w:space="0"/>
            </w:tcBorders>
            <w:vAlign w:val="center"/>
          </w:tcPr>
          <w:p>
            <w:pPr>
              <w:pStyle w:val="2"/>
              <w:spacing w:line="240" w:lineRule="atLeast"/>
              <w:jc w:val="center"/>
              <w:rPr>
                <w:rFonts w:hAnsi="宋体"/>
                <w:color w:val="auto"/>
                <w:sz w:val="21"/>
                <w:szCs w:val="21"/>
              </w:rPr>
            </w:pPr>
          </w:p>
        </w:tc>
        <w:tc>
          <w:tcPr>
            <w:tcW w:w="624" w:type="pct"/>
            <w:vMerge w:val="continue"/>
            <w:tcBorders>
              <w:right w:val="single" w:color="auto" w:sz="4" w:space="0"/>
            </w:tcBorders>
            <w:vAlign w:val="center"/>
          </w:tcPr>
          <w:p>
            <w:pPr>
              <w:pStyle w:val="2"/>
              <w:spacing w:line="240" w:lineRule="atLeast"/>
              <w:jc w:val="center"/>
              <w:rPr>
                <w:rFonts w:hAnsi="宋体"/>
                <w:color w:val="auto"/>
                <w:sz w:val="21"/>
                <w:szCs w:val="21"/>
              </w:rPr>
            </w:pPr>
          </w:p>
        </w:tc>
        <w:tc>
          <w:tcPr>
            <w:tcW w:w="924" w:type="pct"/>
            <w:tcBorders>
              <w:top w:val="single" w:color="auto" w:sz="4" w:space="0"/>
              <w:left w:val="single" w:color="auto" w:sz="4" w:space="0"/>
              <w:bottom w:val="single" w:color="auto" w:sz="4" w:space="0"/>
              <w:right w:val="single" w:color="auto" w:sz="4" w:space="0"/>
            </w:tcBorders>
            <w:vAlign w:val="center"/>
          </w:tcPr>
          <w:p>
            <w:pPr>
              <w:pStyle w:val="2"/>
              <w:spacing w:line="240" w:lineRule="atLeast"/>
              <w:jc w:val="center"/>
              <w:rPr>
                <w:rFonts w:hAnsi="宋体"/>
                <w:color w:val="auto"/>
                <w:sz w:val="21"/>
                <w:szCs w:val="21"/>
              </w:rPr>
            </w:pPr>
            <w:r>
              <w:rPr>
                <w:rFonts w:hint="eastAsia" w:hAnsi="宋体"/>
                <w:color w:val="auto"/>
                <w:sz w:val="21"/>
                <w:szCs w:val="21"/>
              </w:rPr>
              <w:t>电子签章或盖章或签字</w:t>
            </w:r>
          </w:p>
        </w:tc>
        <w:tc>
          <w:tcPr>
            <w:tcW w:w="3021" w:type="pct"/>
            <w:gridSpan w:val="6"/>
            <w:tcBorders>
              <w:top w:val="single" w:color="auto" w:sz="4" w:space="0"/>
              <w:left w:val="single" w:color="auto" w:sz="4" w:space="0"/>
              <w:bottom w:val="single" w:color="auto" w:sz="4" w:space="0"/>
              <w:right w:val="single" w:color="auto" w:sz="4" w:space="0"/>
            </w:tcBorders>
            <w:vAlign w:val="center"/>
          </w:tcPr>
          <w:p>
            <w:pPr>
              <w:pStyle w:val="2"/>
              <w:spacing w:line="240" w:lineRule="atLeast"/>
              <w:jc w:val="center"/>
              <w:rPr>
                <w:rFonts w:hAnsi="宋体"/>
                <w:color w:val="auto"/>
                <w:sz w:val="21"/>
                <w:szCs w:val="21"/>
              </w:rPr>
            </w:pPr>
            <w:r>
              <w:rPr>
                <w:rFonts w:hint="eastAsia" w:hAnsi="宋体"/>
                <w:color w:val="auto"/>
                <w:sz w:val="21"/>
                <w:szCs w:val="21"/>
              </w:rPr>
              <w:t>企业电子签章或盖章或个人电子签章或盖章或签字符合磋商文件要求的</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49" w:hRule="atLeast"/>
        </w:trPr>
        <w:tc>
          <w:tcPr>
            <w:tcW w:w="429" w:type="pct"/>
            <w:vMerge w:val="continue"/>
            <w:tcBorders>
              <w:right w:val="single" w:color="auto" w:sz="4" w:space="0"/>
            </w:tcBorders>
            <w:vAlign w:val="center"/>
          </w:tcPr>
          <w:p>
            <w:pPr>
              <w:pStyle w:val="2"/>
              <w:spacing w:line="240" w:lineRule="atLeast"/>
              <w:jc w:val="center"/>
              <w:rPr>
                <w:rFonts w:hAnsi="宋体"/>
                <w:color w:val="auto"/>
                <w:sz w:val="21"/>
                <w:szCs w:val="21"/>
              </w:rPr>
            </w:pPr>
          </w:p>
        </w:tc>
        <w:tc>
          <w:tcPr>
            <w:tcW w:w="624" w:type="pct"/>
            <w:vMerge w:val="restart"/>
            <w:tcBorders>
              <w:top w:val="single" w:color="auto" w:sz="4" w:space="0"/>
              <w:right w:val="single" w:color="auto" w:sz="4" w:space="0"/>
            </w:tcBorders>
            <w:vAlign w:val="center"/>
          </w:tcPr>
          <w:p>
            <w:pPr>
              <w:pStyle w:val="2"/>
              <w:spacing w:line="240" w:lineRule="atLeast"/>
              <w:jc w:val="center"/>
              <w:rPr>
                <w:rFonts w:hAnsi="宋体"/>
                <w:color w:val="auto"/>
                <w:sz w:val="21"/>
                <w:szCs w:val="21"/>
              </w:rPr>
            </w:pPr>
            <w:r>
              <w:rPr>
                <w:rFonts w:hint="eastAsia" w:hAnsi="宋体"/>
                <w:color w:val="auto"/>
                <w:sz w:val="21"/>
                <w:szCs w:val="21"/>
              </w:rPr>
              <w:t>资</w:t>
            </w:r>
          </w:p>
          <w:p>
            <w:pPr>
              <w:pStyle w:val="2"/>
              <w:spacing w:line="240" w:lineRule="atLeast"/>
              <w:jc w:val="center"/>
              <w:rPr>
                <w:rFonts w:hAnsi="宋体"/>
                <w:color w:val="auto"/>
                <w:sz w:val="21"/>
                <w:szCs w:val="21"/>
              </w:rPr>
            </w:pPr>
            <w:r>
              <w:rPr>
                <w:rFonts w:hint="eastAsia" w:hAnsi="宋体"/>
                <w:color w:val="auto"/>
                <w:sz w:val="21"/>
                <w:szCs w:val="21"/>
              </w:rPr>
              <w:t>格</w:t>
            </w:r>
          </w:p>
          <w:p>
            <w:pPr>
              <w:pStyle w:val="2"/>
              <w:spacing w:line="240" w:lineRule="atLeast"/>
              <w:jc w:val="center"/>
              <w:rPr>
                <w:rFonts w:hAnsi="宋体"/>
                <w:color w:val="auto"/>
                <w:sz w:val="21"/>
                <w:szCs w:val="21"/>
              </w:rPr>
            </w:pPr>
            <w:r>
              <w:rPr>
                <w:rFonts w:hint="eastAsia" w:hAnsi="宋体"/>
                <w:color w:val="auto"/>
                <w:sz w:val="21"/>
                <w:szCs w:val="21"/>
              </w:rPr>
              <w:t>评</w:t>
            </w:r>
          </w:p>
          <w:p>
            <w:pPr>
              <w:pStyle w:val="2"/>
              <w:spacing w:line="240" w:lineRule="atLeast"/>
              <w:jc w:val="center"/>
              <w:rPr>
                <w:rFonts w:hAnsi="宋体"/>
                <w:color w:val="auto"/>
                <w:sz w:val="21"/>
                <w:szCs w:val="21"/>
              </w:rPr>
            </w:pPr>
            <w:r>
              <w:rPr>
                <w:rFonts w:hint="eastAsia" w:hAnsi="宋体"/>
                <w:color w:val="auto"/>
                <w:sz w:val="21"/>
                <w:szCs w:val="21"/>
              </w:rPr>
              <w:t>审</w:t>
            </w:r>
          </w:p>
          <w:p>
            <w:pPr>
              <w:pStyle w:val="2"/>
              <w:spacing w:line="240" w:lineRule="atLeast"/>
              <w:jc w:val="center"/>
              <w:rPr>
                <w:rFonts w:hAnsi="宋体"/>
                <w:color w:val="auto"/>
                <w:sz w:val="21"/>
                <w:szCs w:val="21"/>
              </w:rPr>
            </w:pPr>
            <w:r>
              <w:rPr>
                <w:rFonts w:hint="eastAsia" w:hAnsi="宋体"/>
                <w:color w:val="auto"/>
                <w:sz w:val="21"/>
                <w:szCs w:val="21"/>
              </w:rPr>
              <w:t>标</w:t>
            </w:r>
          </w:p>
          <w:p>
            <w:pPr>
              <w:pStyle w:val="2"/>
              <w:spacing w:line="240" w:lineRule="atLeast"/>
              <w:jc w:val="center"/>
              <w:rPr>
                <w:rFonts w:hAnsi="宋体"/>
                <w:color w:val="auto"/>
                <w:sz w:val="21"/>
                <w:szCs w:val="21"/>
              </w:rPr>
            </w:pPr>
            <w:r>
              <w:rPr>
                <w:rFonts w:hint="eastAsia" w:hAnsi="宋体"/>
                <w:color w:val="auto"/>
                <w:sz w:val="21"/>
                <w:szCs w:val="21"/>
              </w:rPr>
              <w:t>准</w:t>
            </w:r>
          </w:p>
        </w:tc>
        <w:tc>
          <w:tcPr>
            <w:tcW w:w="924" w:type="pct"/>
            <w:tcBorders>
              <w:top w:val="single" w:color="auto" w:sz="4" w:space="0"/>
              <w:left w:val="single" w:color="auto" w:sz="4" w:space="0"/>
              <w:right w:val="single" w:color="auto" w:sz="4" w:space="0"/>
            </w:tcBorders>
            <w:vAlign w:val="center"/>
          </w:tcPr>
          <w:p>
            <w:pPr>
              <w:pStyle w:val="2"/>
              <w:spacing w:line="240" w:lineRule="atLeast"/>
              <w:jc w:val="center"/>
              <w:rPr>
                <w:rFonts w:hAnsi="宋体"/>
                <w:color w:val="auto"/>
                <w:sz w:val="21"/>
                <w:szCs w:val="21"/>
              </w:rPr>
            </w:pPr>
            <w:r>
              <w:rPr>
                <w:rFonts w:hint="eastAsia" w:hAnsi="宋体"/>
                <w:color w:val="auto"/>
                <w:sz w:val="21"/>
                <w:szCs w:val="21"/>
              </w:rPr>
              <w:t>营业执照</w:t>
            </w:r>
          </w:p>
        </w:tc>
        <w:tc>
          <w:tcPr>
            <w:tcW w:w="3021" w:type="pct"/>
            <w:gridSpan w:val="6"/>
            <w:tcBorders>
              <w:top w:val="single" w:color="auto" w:sz="4" w:space="0"/>
              <w:left w:val="single" w:color="auto" w:sz="4" w:space="0"/>
              <w:bottom w:val="single" w:color="auto" w:sz="4" w:space="0"/>
              <w:right w:val="single" w:color="auto" w:sz="4" w:space="0"/>
            </w:tcBorders>
            <w:vAlign w:val="center"/>
          </w:tcPr>
          <w:p>
            <w:pPr>
              <w:pStyle w:val="2"/>
              <w:spacing w:line="240" w:lineRule="atLeast"/>
              <w:jc w:val="center"/>
              <w:rPr>
                <w:rFonts w:hAnsi="宋体"/>
                <w:color w:val="auto"/>
                <w:sz w:val="21"/>
                <w:szCs w:val="21"/>
              </w:rPr>
            </w:pPr>
            <w:r>
              <w:rPr>
                <w:rFonts w:hint="eastAsia" w:hAnsi="宋体"/>
                <w:color w:val="auto"/>
                <w:sz w:val="21"/>
                <w:szCs w:val="21"/>
              </w:rPr>
              <w:t>具备有效的营业执照</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3" w:hRule="atLeast"/>
        </w:trPr>
        <w:tc>
          <w:tcPr>
            <w:tcW w:w="429" w:type="pct"/>
            <w:vMerge w:val="continue"/>
            <w:tcBorders>
              <w:bottom w:val="single" w:color="auto" w:sz="4" w:space="0"/>
              <w:right w:val="single" w:color="auto" w:sz="4" w:space="0"/>
            </w:tcBorders>
            <w:vAlign w:val="center"/>
          </w:tcPr>
          <w:p>
            <w:pPr>
              <w:pStyle w:val="2"/>
              <w:spacing w:line="240" w:lineRule="atLeast"/>
              <w:jc w:val="center"/>
              <w:rPr>
                <w:rFonts w:hAnsi="宋体"/>
                <w:color w:val="auto"/>
                <w:sz w:val="21"/>
                <w:szCs w:val="21"/>
              </w:rPr>
            </w:pPr>
          </w:p>
        </w:tc>
        <w:tc>
          <w:tcPr>
            <w:tcW w:w="624" w:type="pct"/>
            <w:vMerge w:val="continue"/>
            <w:tcBorders>
              <w:right w:val="single" w:color="auto" w:sz="4" w:space="0"/>
            </w:tcBorders>
            <w:vAlign w:val="center"/>
          </w:tcPr>
          <w:p>
            <w:pPr>
              <w:pStyle w:val="2"/>
              <w:spacing w:line="240" w:lineRule="atLeast"/>
              <w:jc w:val="center"/>
              <w:rPr>
                <w:rFonts w:hAnsi="宋体"/>
                <w:color w:val="auto"/>
                <w:sz w:val="21"/>
                <w:szCs w:val="21"/>
              </w:rPr>
            </w:pPr>
          </w:p>
        </w:tc>
        <w:tc>
          <w:tcPr>
            <w:tcW w:w="924" w:type="pct"/>
            <w:tcBorders>
              <w:top w:val="single" w:color="auto" w:sz="4" w:space="0"/>
              <w:left w:val="single" w:color="auto" w:sz="4" w:space="0"/>
              <w:right w:val="single" w:color="auto" w:sz="4" w:space="0"/>
            </w:tcBorders>
            <w:vAlign w:val="center"/>
          </w:tcPr>
          <w:p>
            <w:pPr>
              <w:spacing w:line="340" w:lineRule="exact"/>
              <w:jc w:val="center"/>
              <w:rPr>
                <w:rFonts w:ascii="宋体" w:hAnsi="宋体" w:cs="宋体"/>
                <w:kern w:val="0"/>
                <w:szCs w:val="21"/>
              </w:rPr>
            </w:pPr>
            <w:r>
              <w:rPr>
                <w:rFonts w:hint="eastAsia" w:ascii="宋体" w:hAnsi="宋体" w:cs="宋体"/>
                <w:kern w:val="0"/>
                <w:szCs w:val="21"/>
              </w:rPr>
              <w:t>资质等级</w:t>
            </w:r>
          </w:p>
        </w:tc>
        <w:tc>
          <w:tcPr>
            <w:tcW w:w="3021" w:type="pct"/>
            <w:gridSpan w:val="6"/>
            <w:tcBorders>
              <w:top w:val="single" w:color="auto" w:sz="4" w:space="0"/>
              <w:left w:val="single" w:color="auto" w:sz="4" w:space="0"/>
              <w:bottom w:val="single" w:color="auto" w:sz="4" w:space="0"/>
              <w:right w:val="single" w:color="auto" w:sz="4" w:space="0"/>
            </w:tcBorders>
            <w:vAlign w:val="center"/>
          </w:tcPr>
          <w:p>
            <w:pPr>
              <w:rPr>
                <w:rFonts w:ascii="宋体" w:hAnsi="宋体" w:cs="宋体"/>
                <w:kern w:val="0"/>
                <w:szCs w:val="21"/>
              </w:rPr>
            </w:pPr>
            <w:r>
              <w:rPr>
                <w:rFonts w:hint="eastAsia" w:ascii="宋体" w:hAnsi="宋体" w:cs="宋体"/>
                <w:kern w:val="0"/>
                <w:szCs w:val="21"/>
              </w:rPr>
              <w:t>符合第二章“</w:t>
            </w:r>
            <w:r>
              <w:rPr>
                <w:rFonts w:hint="eastAsia" w:ascii="宋体" w:hAnsi="宋体" w:cs="宋体"/>
                <w:kern w:val="0"/>
                <w:szCs w:val="21"/>
                <w:lang w:eastAsia="zh-CN"/>
              </w:rPr>
              <w:t>响应人</w:t>
            </w:r>
            <w:r>
              <w:rPr>
                <w:rFonts w:hint="eastAsia" w:ascii="宋体" w:hAnsi="宋体" w:cs="宋体"/>
                <w:kern w:val="0"/>
                <w:szCs w:val="21"/>
              </w:rPr>
              <w:t>须知”第1.4.1项规定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3" w:hRule="atLeast"/>
        </w:trPr>
        <w:tc>
          <w:tcPr>
            <w:tcW w:w="429" w:type="pct"/>
            <w:vMerge w:val="restart"/>
            <w:tcBorders>
              <w:top w:val="single" w:color="auto" w:sz="4" w:space="0"/>
              <w:bottom w:val="single" w:color="auto" w:sz="4" w:space="0"/>
              <w:right w:val="single" w:color="auto" w:sz="4" w:space="0"/>
            </w:tcBorders>
            <w:vAlign w:val="center"/>
          </w:tcPr>
          <w:p>
            <w:pPr>
              <w:pStyle w:val="2"/>
              <w:spacing w:line="240" w:lineRule="atLeast"/>
              <w:jc w:val="center"/>
              <w:rPr>
                <w:rFonts w:hint="default" w:hAnsi="宋体" w:eastAsia="宋体"/>
                <w:color w:val="auto"/>
                <w:sz w:val="21"/>
                <w:szCs w:val="21"/>
                <w:lang w:val="en-US" w:eastAsia="zh-CN"/>
              </w:rPr>
            </w:pPr>
            <w:r>
              <w:rPr>
                <w:rFonts w:hint="eastAsia" w:hAnsi="宋体"/>
                <w:color w:val="auto"/>
                <w:sz w:val="21"/>
                <w:szCs w:val="21"/>
                <w:lang w:val="en-US" w:eastAsia="zh-CN"/>
              </w:rPr>
              <w:t>2.1.2</w:t>
            </w:r>
          </w:p>
        </w:tc>
        <w:tc>
          <w:tcPr>
            <w:tcW w:w="624" w:type="pct"/>
            <w:vMerge w:val="continue"/>
            <w:tcBorders>
              <w:right w:val="single" w:color="auto" w:sz="4" w:space="0"/>
            </w:tcBorders>
            <w:vAlign w:val="center"/>
          </w:tcPr>
          <w:p>
            <w:pPr>
              <w:pStyle w:val="2"/>
              <w:spacing w:line="240" w:lineRule="atLeast"/>
              <w:jc w:val="center"/>
              <w:rPr>
                <w:rFonts w:hAnsi="宋体"/>
                <w:color w:val="auto"/>
                <w:sz w:val="21"/>
                <w:szCs w:val="21"/>
              </w:rPr>
            </w:pPr>
          </w:p>
        </w:tc>
        <w:tc>
          <w:tcPr>
            <w:tcW w:w="924" w:type="pct"/>
            <w:tcBorders>
              <w:top w:val="single" w:color="auto" w:sz="4" w:space="0"/>
              <w:left w:val="single" w:color="auto" w:sz="4" w:space="0"/>
              <w:right w:val="single" w:color="auto" w:sz="4" w:space="0"/>
            </w:tcBorders>
            <w:vAlign w:val="center"/>
          </w:tcPr>
          <w:p>
            <w:pPr>
              <w:spacing w:line="340" w:lineRule="exact"/>
              <w:jc w:val="center"/>
              <w:rPr>
                <w:rFonts w:ascii="宋体" w:hAnsi="宋体" w:cs="宋体"/>
                <w:kern w:val="0"/>
                <w:szCs w:val="21"/>
              </w:rPr>
            </w:pPr>
            <w:r>
              <w:rPr>
                <w:rFonts w:hint="eastAsia" w:ascii="宋体" w:hAnsi="宋体" w:cs="宋体"/>
                <w:kern w:val="0"/>
                <w:szCs w:val="21"/>
              </w:rPr>
              <w:t>财务状况</w:t>
            </w:r>
          </w:p>
        </w:tc>
        <w:tc>
          <w:tcPr>
            <w:tcW w:w="3021" w:type="pct"/>
            <w:gridSpan w:val="6"/>
            <w:tcBorders>
              <w:top w:val="single" w:color="auto" w:sz="4" w:space="0"/>
              <w:left w:val="single" w:color="auto" w:sz="4" w:space="0"/>
              <w:bottom w:val="single" w:color="auto" w:sz="4" w:space="0"/>
              <w:right w:val="single" w:color="auto" w:sz="4" w:space="0"/>
            </w:tcBorders>
            <w:vAlign w:val="center"/>
          </w:tcPr>
          <w:p>
            <w:pPr>
              <w:rPr>
                <w:rFonts w:ascii="宋体" w:hAnsi="宋体" w:cs="宋体"/>
                <w:kern w:val="0"/>
                <w:szCs w:val="21"/>
              </w:rPr>
            </w:pPr>
            <w:r>
              <w:rPr>
                <w:rFonts w:hint="eastAsia" w:ascii="宋体" w:hAnsi="宋体" w:cs="宋体"/>
                <w:kern w:val="0"/>
                <w:szCs w:val="21"/>
              </w:rPr>
              <w:t>符合第二章“</w:t>
            </w:r>
            <w:r>
              <w:rPr>
                <w:rFonts w:hint="eastAsia" w:ascii="宋体" w:hAnsi="宋体" w:cs="宋体"/>
                <w:kern w:val="0"/>
                <w:szCs w:val="21"/>
                <w:lang w:eastAsia="zh-CN"/>
              </w:rPr>
              <w:t>响应人</w:t>
            </w:r>
            <w:r>
              <w:rPr>
                <w:rFonts w:hint="eastAsia" w:ascii="宋体" w:hAnsi="宋体" w:cs="宋体"/>
                <w:kern w:val="0"/>
                <w:szCs w:val="21"/>
              </w:rPr>
              <w:t>须知”第1.4.1项规定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49" w:hRule="atLeast"/>
        </w:trPr>
        <w:tc>
          <w:tcPr>
            <w:tcW w:w="429" w:type="pct"/>
            <w:vMerge w:val="continue"/>
            <w:tcBorders>
              <w:top w:val="single" w:color="auto" w:sz="4" w:space="0"/>
              <w:bottom w:val="single" w:color="auto" w:sz="4" w:space="0"/>
              <w:right w:val="single" w:color="auto" w:sz="4" w:space="0"/>
            </w:tcBorders>
            <w:vAlign w:val="center"/>
          </w:tcPr>
          <w:p>
            <w:pPr>
              <w:adjustRightInd w:val="0"/>
              <w:spacing w:line="360" w:lineRule="auto"/>
              <w:jc w:val="center"/>
              <w:textAlignment w:val="baseline"/>
              <w:rPr>
                <w:rFonts w:ascii="宋体" w:hAnsi="宋体" w:cs="宋体"/>
                <w:szCs w:val="21"/>
              </w:rPr>
            </w:pPr>
          </w:p>
        </w:tc>
        <w:tc>
          <w:tcPr>
            <w:tcW w:w="624" w:type="pct"/>
            <w:vMerge w:val="continue"/>
            <w:tcBorders>
              <w:bottom w:val="single" w:color="auto" w:sz="4" w:space="0"/>
              <w:right w:val="single" w:color="auto" w:sz="4" w:space="0"/>
            </w:tcBorders>
            <w:vAlign w:val="center"/>
          </w:tcPr>
          <w:p>
            <w:pPr>
              <w:adjustRightInd w:val="0"/>
              <w:spacing w:line="360" w:lineRule="auto"/>
              <w:jc w:val="center"/>
              <w:textAlignment w:val="baseline"/>
              <w:rPr>
                <w:rFonts w:ascii="宋体" w:hAnsi="宋体" w:cs="宋体"/>
                <w:kern w:val="0"/>
                <w:szCs w:val="21"/>
              </w:rPr>
            </w:pPr>
          </w:p>
        </w:tc>
        <w:tc>
          <w:tcPr>
            <w:tcW w:w="924" w:type="pct"/>
            <w:tcBorders>
              <w:top w:val="single" w:color="auto" w:sz="4" w:space="0"/>
              <w:left w:val="single" w:color="auto" w:sz="4" w:space="0"/>
              <w:right w:val="single" w:color="auto" w:sz="4" w:space="0"/>
            </w:tcBorders>
            <w:vAlign w:val="center"/>
          </w:tcPr>
          <w:p>
            <w:pPr>
              <w:spacing w:line="340" w:lineRule="exact"/>
              <w:jc w:val="center"/>
              <w:rPr>
                <w:rFonts w:ascii="宋体" w:hAnsi="宋体" w:cs="宋体"/>
                <w:kern w:val="0"/>
                <w:szCs w:val="21"/>
              </w:rPr>
            </w:pPr>
            <w:r>
              <w:rPr>
                <w:rFonts w:hint="eastAsia" w:ascii="宋体" w:hAnsi="宋体" w:cs="宋体"/>
                <w:kern w:val="0"/>
                <w:szCs w:val="21"/>
              </w:rPr>
              <w:t>其他要求</w:t>
            </w:r>
          </w:p>
        </w:tc>
        <w:tc>
          <w:tcPr>
            <w:tcW w:w="3021" w:type="pct"/>
            <w:gridSpan w:val="6"/>
            <w:tcBorders>
              <w:top w:val="single" w:color="auto" w:sz="4" w:space="0"/>
              <w:left w:val="single" w:color="auto" w:sz="4" w:space="0"/>
              <w:bottom w:val="single" w:color="auto" w:sz="4" w:space="0"/>
              <w:right w:val="single" w:color="auto" w:sz="4" w:space="0"/>
            </w:tcBorders>
            <w:vAlign w:val="center"/>
          </w:tcPr>
          <w:p>
            <w:pPr>
              <w:spacing w:line="340" w:lineRule="exact"/>
              <w:jc w:val="center"/>
              <w:rPr>
                <w:rFonts w:ascii="宋体" w:hAnsi="宋体" w:cs="宋体"/>
                <w:kern w:val="0"/>
                <w:szCs w:val="21"/>
              </w:rPr>
            </w:pPr>
            <w:r>
              <w:rPr>
                <w:rFonts w:hint="eastAsia" w:ascii="宋体" w:hAnsi="宋体" w:cs="宋体"/>
                <w:kern w:val="0"/>
                <w:szCs w:val="21"/>
              </w:rPr>
              <w:t>符合第二章“</w:t>
            </w:r>
            <w:r>
              <w:rPr>
                <w:rFonts w:hint="eastAsia" w:ascii="宋体" w:hAnsi="宋体" w:cs="宋体"/>
                <w:kern w:val="0"/>
                <w:szCs w:val="21"/>
                <w:lang w:eastAsia="zh-CN"/>
              </w:rPr>
              <w:t>响应人</w:t>
            </w:r>
            <w:r>
              <w:rPr>
                <w:rFonts w:hint="eastAsia" w:ascii="宋体" w:hAnsi="宋体" w:cs="宋体"/>
                <w:kern w:val="0"/>
                <w:szCs w:val="21"/>
              </w:rPr>
              <w:t>须知”第1.4.1项规定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49" w:hRule="atLeast"/>
        </w:trPr>
        <w:tc>
          <w:tcPr>
            <w:tcW w:w="429" w:type="pct"/>
            <w:vMerge w:val="continue"/>
            <w:tcBorders>
              <w:top w:val="single" w:color="auto" w:sz="4" w:space="0"/>
              <w:bottom w:val="single" w:color="auto" w:sz="4" w:space="0"/>
              <w:right w:val="single" w:color="auto" w:sz="4" w:space="0"/>
            </w:tcBorders>
            <w:vAlign w:val="center"/>
          </w:tcPr>
          <w:p>
            <w:pPr>
              <w:pStyle w:val="2"/>
              <w:spacing w:line="240" w:lineRule="atLeast"/>
              <w:jc w:val="center"/>
              <w:rPr>
                <w:rFonts w:hAnsi="宋体"/>
                <w:color w:val="auto"/>
                <w:sz w:val="21"/>
                <w:szCs w:val="21"/>
              </w:rPr>
            </w:pPr>
          </w:p>
        </w:tc>
        <w:tc>
          <w:tcPr>
            <w:tcW w:w="624" w:type="pct"/>
            <w:vMerge w:val="restart"/>
            <w:tcBorders>
              <w:top w:val="single" w:color="auto" w:sz="4" w:space="0"/>
              <w:right w:val="single" w:color="auto" w:sz="4" w:space="0"/>
            </w:tcBorders>
            <w:vAlign w:val="center"/>
          </w:tcPr>
          <w:p>
            <w:pPr>
              <w:pStyle w:val="2"/>
              <w:spacing w:line="240" w:lineRule="atLeast"/>
              <w:jc w:val="center"/>
              <w:rPr>
                <w:rFonts w:hAnsi="宋体"/>
                <w:color w:val="auto"/>
                <w:sz w:val="21"/>
                <w:szCs w:val="21"/>
              </w:rPr>
            </w:pPr>
            <w:r>
              <w:rPr>
                <w:rFonts w:hint="eastAsia" w:hAnsi="宋体"/>
                <w:color w:val="auto"/>
                <w:sz w:val="21"/>
                <w:szCs w:val="21"/>
              </w:rPr>
              <w:t>响</w:t>
            </w:r>
          </w:p>
          <w:p>
            <w:pPr>
              <w:pStyle w:val="2"/>
              <w:spacing w:line="240" w:lineRule="atLeast"/>
              <w:jc w:val="center"/>
              <w:rPr>
                <w:rFonts w:hAnsi="宋体"/>
                <w:color w:val="auto"/>
                <w:sz w:val="21"/>
                <w:szCs w:val="21"/>
              </w:rPr>
            </w:pPr>
            <w:r>
              <w:rPr>
                <w:rFonts w:hint="eastAsia" w:hAnsi="宋体"/>
                <w:color w:val="auto"/>
                <w:sz w:val="21"/>
                <w:szCs w:val="21"/>
              </w:rPr>
              <w:t>应</w:t>
            </w:r>
          </w:p>
          <w:p>
            <w:pPr>
              <w:pStyle w:val="2"/>
              <w:spacing w:line="240" w:lineRule="atLeast"/>
              <w:jc w:val="center"/>
              <w:rPr>
                <w:rFonts w:hAnsi="宋体"/>
                <w:color w:val="auto"/>
                <w:sz w:val="21"/>
                <w:szCs w:val="21"/>
              </w:rPr>
            </w:pPr>
            <w:r>
              <w:rPr>
                <w:rFonts w:hint="eastAsia" w:hAnsi="宋体"/>
                <w:color w:val="auto"/>
                <w:sz w:val="21"/>
                <w:szCs w:val="21"/>
              </w:rPr>
              <w:t>性</w:t>
            </w:r>
          </w:p>
          <w:p>
            <w:pPr>
              <w:pStyle w:val="2"/>
              <w:spacing w:line="240" w:lineRule="atLeast"/>
              <w:jc w:val="center"/>
              <w:rPr>
                <w:rFonts w:hAnsi="宋体"/>
                <w:color w:val="auto"/>
                <w:sz w:val="21"/>
                <w:szCs w:val="21"/>
              </w:rPr>
            </w:pPr>
            <w:r>
              <w:rPr>
                <w:rFonts w:hint="eastAsia" w:hAnsi="宋体"/>
                <w:color w:val="auto"/>
                <w:sz w:val="21"/>
                <w:szCs w:val="21"/>
              </w:rPr>
              <w:t>评</w:t>
            </w:r>
          </w:p>
          <w:p>
            <w:pPr>
              <w:pStyle w:val="2"/>
              <w:spacing w:line="240" w:lineRule="atLeast"/>
              <w:jc w:val="center"/>
              <w:rPr>
                <w:rFonts w:hAnsi="宋体"/>
                <w:color w:val="auto"/>
                <w:sz w:val="21"/>
                <w:szCs w:val="21"/>
              </w:rPr>
            </w:pPr>
            <w:r>
              <w:rPr>
                <w:rFonts w:hint="eastAsia" w:hAnsi="宋体"/>
                <w:color w:val="auto"/>
                <w:sz w:val="21"/>
                <w:szCs w:val="21"/>
              </w:rPr>
              <w:t>审</w:t>
            </w:r>
          </w:p>
          <w:p>
            <w:pPr>
              <w:pStyle w:val="2"/>
              <w:spacing w:line="240" w:lineRule="atLeast"/>
              <w:jc w:val="center"/>
              <w:rPr>
                <w:rFonts w:hAnsi="宋体"/>
                <w:color w:val="auto"/>
                <w:sz w:val="21"/>
                <w:szCs w:val="21"/>
              </w:rPr>
            </w:pPr>
            <w:r>
              <w:rPr>
                <w:rFonts w:hint="eastAsia" w:hAnsi="宋体"/>
                <w:color w:val="auto"/>
                <w:sz w:val="21"/>
                <w:szCs w:val="21"/>
              </w:rPr>
              <w:t>标</w:t>
            </w:r>
          </w:p>
          <w:p>
            <w:pPr>
              <w:pStyle w:val="2"/>
              <w:spacing w:line="240" w:lineRule="atLeast"/>
              <w:jc w:val="center"/>
              <w:rPr>
                <w:rFonts w:hAnsi="宋体"/>
                <w:color w:val="auto"/>
                <w:sz w:val="21"/>
                <w:szCs w:val="21"/>
              </w:rPr>
            </w:pPr>
            <w:r>
              <w:rPr>
                <w:rFonts w:hint="eastAsia" w:hAnsi="宋体"/>
                <w:color w:val="auto"/>
                <w:sz w:val="21"/>
                <w:szCs w:val="21"/>
              </w:rPr>
              <w:t>准</w:t>
            </w:r>
          </w:p>
        </w:tc>
        <w:tc>
          <w:tcPr>
            <w:tcW w:w="924" w:type="pct"/>
            <w:tcBorders>
              <w:top w:val="single" w:color="auto" w:sz="4" w:space="0"/>
              <w:left w:val="single" w:color="auto" w:sz="4" w:space="0"/>
              <w:right w:val="single" w:color="auto" w:sz="4" w:space="0"/>
            </w:tcBorders>
            <w:vAlign w:val="center"/>
          </w:tcPr>
          <w:p>
            <w:pPr>
              <w:spacing w:line="360" w:lineRule="auto"/>
              <w:jc w:val="center"/>
              <w:rPr>
                <w:rFonts w:ascii="宋体" w:hAnsi="宋体" w:cs="宋体"/>
                <w:szCs w:val="21"/>
              </w:rPr>
            </w:pPr>
            <w:r>
              <w:rPr>
                <w:rFonts w:hint="eastAsia" w:ascii="宋体" w:hAnsi="宋体"/>
                <w:szCs w:val="21"/>
              </w:rPr>
              <w:t>磋商范围</w:t>
            </w:r>
          </w:p>
        </w:tc>
        <w:tc>
          <w:tcPr>
            <w:tcW w:w="3021" w:type="pct"/>
            <w:gridSpan w:val="6"/>
            <w:tcBorders>
              <w:top w:val="single" w:color="auto" w:sz="4" w:space="0"/>
              <w:left w:val="single" w:color="auto" w:sz="4" w:space="0"/>
              <w:bottom w:val="single" w:color="auto" w:sz="4" w:space="0"/>
              <w:right w:val="single" w:color="auto" w:sz="4" w:space="0"/>
            </w:tcBorders>
            <w:vAlign w:val="center"/>
          </w:tcPr>
          <w:p>
            <w:pPr>
              <w:adjustRightInd w:val="0"/>
              <w:spacing w:line="360" w:lineRule="auto"/>
              <w:jc w:val="center"/>
              <w:textAlignment w:val="baseline"/>
              <w:rPr>
                <w:rFonts w:ascii="宋体" w:hAnsi="宋体" w:cs="宋体"/>
                <w:szCs w:val="21"/>
              </w:rPr>
            </w:pPr>
            <w:r>
              <w:rPr>
                <w:rFonts w:hint="eastAsia" w:ascii="宋体" w:hAnsi="宋体" w:cs="宋体"/>
                <w:szCs w:val="21"/>
              </w:rPr>
              <w:t>符合第二章“</w:t>
            </w:r>
            <w:r>
              <w:rPr>
                <w:rFonts w:hint="eastAsia" w:ascii="宋体" w:hAnsi="宋体" w:cs="宋体"/>
                <w:szCs w:val="21"/>
                <w:lang w:eastAsia="zh-CN"/>
              </w:rPr>
              <w:t>响应人</w:t>
            </w:r>
            <w:r>
              <w:rPr>
                <w:rFonts w:hint="eastAsia" w:ascii="宋体" w:hAnsi="宋体" w:cs="宋体"/>
                <w:szCs w:val="21"/>
              </w:rPr>
              <w:t>须知”第1.3.1项规定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5" w:hRule="atLeast"/>
        </w:trPr>
        <w:tc>
          <w:tcPr>
            <w:tcW w:w="429" w:type="pct"/>
            <w:vMerge w:val="continue"/>
            <w:tcBorders>
              <w:top w:val="single" w:color="auto" w:sz="4" w:space="0"/>
              <w:bottom w:val="single" w:color="auto" w:sz="4" w:space="0"/>
              <w:right w:val="single" w:color="auto" w:sz="4" w:space="0"/>
            </w:tcBorders>
            <w:vAlign w:val="center"/>
          </w:tcPr>
          <w:p>
            <w:pPr>
              <w:adjustRightInd w:val="0"/>
              <w:spacing w:line="360" w:lineRule="auto"/>
              <w:jc w:val="center"/>
              <w:textAlignment w:val="baseline"/>
              <w:rPr>
                <w:rFonts w:ascii="宋体" w:hAnsi="宋体" w:cs="宋体"/>
                <w:szCs w:val="21"/>
              </w:rPr>
            </w:pPr>
          </w:p>
        </w:tc>
        <w:tc>
          <w:tcPr>
            <w:tcW w:w="624" w:type="pct"/>
            <w:vMerge w:val="continue"/>
            <w:tcBorders>
              <w:right w:val="single" w:color="auto" w:sz="4" w:space="0"/>
            </w:tcBorders>
            <w:vAlign w:val="center"/>
          </w:tcPr>
          <w:p>
            <w:pPr>
              <w:adjustRightInd w:val="0"/>
              <w:spacing w:line="360" w:lineRule="auto"/>
              <w:jc w:val="center"/>
              <w:textAlignment w:val="baseline"/>
              <w:rPr>
                <w:rFonts w:ascii="宋体" w:hAnsi="宋体" w:cs="宋体"/>
                <w:kern w:val="0"/>
                <w:szCs w:val="21"/>
              </w:rPr>
            </w:pPr>
          </w:p>
        </w:tc>
        <w:tc>
          <w:tcPr>
            <w:tcW w:w="924" w:type="pct"/>
            <w:tcBorders>
              <w:top w:val="single" w:color="auto" w:sz="4" w:space="0"/>
              <w:left w:val="single" w:color="auto" w:sz="4" w:space="0"/>
              <w:right w:val="single" w:color="auto" w:sz="4" w:space="0"/>
            </w:tcBorders>
            <w:vAlign w:val="center"/>
          </w:tcPr>
          <w:p>
            <w:pPr>
              <w:spacing w:line="360" w:lineRule="auto"/>
              <w:jc w:val="center"/>
              <w:rPr>
                <w:rFonts w:ascii="宋体" w:hAnsi="宋体" w:cs="宋体"/>
                <w:szCs w:val="21"/>
              </w:rPr>
            </w:pPr>
            <w:r>
              <w:rPr>
                <w:rFonts w:hint="eastAsia" w:ascii="宋体" w:hAnsi="宋体"/>
                <w:szCs w:val="21"/>
              </w:rPr>
              <w:t>工期</w:t>
            </w:r>
          </w:p>
        </w:tc>
        <w:tc>
          <w:tcPr>
            <w:tcW w:w="3021" w:type="pct"/>
            <w:gridSpan w:val="6"/>
            <w:tcBorders>
              <w:top w:val="single" w:color="auto" w:sz="4" w:space="0"/>
              <w:left w:val="single" w:color="auto" w:sz="4" w:space="0"/>
              <w:bottom w:val="single" w:color="auto" w:sz="4" w:space="0"/>
              <w:right w:val="single" w:color="auto" w:sz="4" w:space="0"/>
            </w:tcBorders>
            <w:vAlign w:val="center"/>
          </w:tcPr>
          <w:p>
            <w:pPr>
              <w:adjustRightInd w:val="0"/>
              <w:spacing w:line="360" w:lineRule="auto"/>
              <w:jc w:val="center"/>
              <w:textAlignment w:val="baseline"/>
              <w:rPr>
                <w:rFonts w:ascii="宋体" w:hAnsi="宋体" w:cs="宋体"/>
                <w:szCs w:val="21"/>
              </w:rPr>
            </w:pPr>
            <w:r>
              <w:rPr>
                <w:rFonts w:hint="eastAsia" w:ascii="宋体" w:hAnsi="宋体" w:cs="宋体"/>
                <w:szCs w:val="21"/>
              </w:rPr>
              <w:t>符合第二章“</w:t>
            </w:r>
            <w:r>
              <w:rPr>
                <w:rFonts w:hint="eastAsia" w:ascii="宋体" w:hAnsi="宋体" w:cs="宋体"/>
                <w:szCs w:val="21"/>
                <w:lang w:eastAsia="zh-CN"/>
              </w:rPr>
              <w:t>响应人</w:t>
            </w:r>
            <w:r>
              <w:rPr>
                <w:rFonts w:hint="eastAsia" w:ascii="宋体" w:hAnsi="宋体" w:cs="宋体"/>
                <w:szCs w:val="21"/>
              </w:rPr>
              <w:t>须知”第1.3.2项规定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5" w:hRule="atLeast"/>
        </w:trPr>
        <w:tc>
          <w:tcPr>
            <w:tcW w:w="429" w:type="pct"/>
            <w:vMerge w:val="restart"/>
            <w:tcBorders>
              <w:top w:val="single" w:color="auto" w:sz="4" w:space="0"/>
              <w:bottom w:val="single" w:color="auto" w:sz="4" w:space="0"/>
              <w:right w:val="single" w:color="auto" w:sz="4" w:space="0"/>
            </w:tcBorders>
            <w:vAlign w:val="center"/>
          </w:tcPr>
          <w:p>
            <w:pPr>
              <w:adjustRightInd w:val="0"/>
              <w:spacing w:line="360" w:lineRule="auto"/>
              <w:jc w:val="center"/>
              <w:textAlignment w:val="baseline"/>
              <w:rPr>
                <w:rFonts w:hint="default" w:ascii="宋体" w:hAnsi="宋体" w:cs="宋体" w:eastAsiaTheme="minorEastAsia"/>
                <w:szCs w:val="21"/>
                <w:lang w:val="en-US" w:eastAsia="zh-CN"/>
              </w:rPr>
            </w:pPr>
            <w:r>
              <w:rPr>
                <w:rFonts w:hint="eastAsia" w:ascii="宋体" w:hAnsi="宋体" w:cs="宋体"/>
                <w:szCs w:val="21"/>
                <w:lang w:val="en-US" w:eastAsia="zh-CN"/>
              </w:rPr>
              <w:t>2.1.3</w:t>
            </w:r>
          </w:p>
        </w:tc>
        <w:tc>
          <w:tcPr>
            <w:tcW w:w="624" w:type="pct"/>
            <w:vMerge w:val="continue"/>
            <w:tcBorders>
              <w:right w:val="single" w:color="auto" w:sz="4" w:space="0"/>
            </w:tcBorders>
            <w:vAlign w:val="center"/>
          </w:tcPr>
          <w:p>
            <w:pPr>
              <w:adjustRightInd w:val="0"/>
              <w:spacing w:line="360" w:lineRule="auto"/>
              <w:jc w:val="center"/>
              <w:textAlignment w:val="baseline"/>
              <w:rPr>
                <w:rFonts w:ascii="宋体" w:hAnsi="宋体" w:cs="宋体"/>
                <w:kern w:val="0"/>
                <w:szCs w:val="21"/>
              </w:rPr>
            </w:pPr>
          </w:p>
        </w:tc>
        <w:tc>
          <w:tcPr>
            <w:tcW w:w="924" w:type="pct"/>
            <w:tcBorders>
              <w:top w:val="single" w:color="auto" w:sz="4" w:space="0"/>
              <w:left w:val="single" w:color="auto" w:sz="4" w:space="0"/>
              <w:right w:val="single" w:color="auto" w:sz="4" w:space="0"/>
            </w:tcBorders>
            <w:vAlign w:val="center"/>
          </w:tcPr>
          <w:p>
            <w:pPr>
              <w:spacing w:line="360" w:lineRule="auto"/>
              <w:jc w:val="center"/>
              <w:rPr>
                <w:rFonts w:ascii="宋体" w:hAnsi="宋体"/>
                <w:szCs w:val="21"/>
              </w:rPr>
            </w:pPr>
            <w:r>
              <w:rPr>
                <w:rFonts w:hint="eastAsia" w:ascii="宋体" w:hAnsi="宋体"/>
                <w:szCs w:val="21"/>
              </w:rPr>
              <w:t>质量</w:t>
            </w:r>
          </w:p>
        </w:tc>
        <w:tc>
          <w:tcPr>
            <w:tcW w:w="3021" w:type="pct"/>
            <w:gridSpan w:val="6"/>
            <w:tcBorders>
              <w:top w:val="single" w:color="auto" w:sz="4" w:space="0"/>
              <w:left w:val="single" w:color="auto" w:sz="4" w:space="0"/>
              <w:bottom w:val="single" w:color="auto" w:sz="4" w:space="0"/>
              <w:right w:val="single" w:color="auto" w:sz="4" w:space="0"/>
            </w:tcBorders>
            <w:vAlign w:val="center"/>
          </w:tcPr>
          <w:p>
            <w:pPr>
              <w:adjustRightInd w:val="0"/>
              <w:spacing w:line="360" w:lineRule="auto"/>
              <w:jc w:val="center"/>
              <w:textAlignment w:val="baseline"/>
              <w:rPr>
                <w:rFonts w:ascii="宋体" w:hAnsi="宋体" w:cs="宋体"/>
                <w:szCs w:val="21"/>
              </w:rPr>
            </w:pPr>
            <w:r>
              <w:rPr>
                <w:rFonts w:hint="eastAsia" w:ascii="宋体" w:hAnsi="宋体" w:cs="宋体"/>
                <w:szCs w:val="21"/>
              </w:rPr>
              <w:t>符合第二章“</w:t>
            </w:r>
            <w:r>
              <w:rPr>
                <w:rFonts w:hint="eastAsia" w:ascii="宋体" w:hAnsi="宋体" w:cs="宋体"/>
                <w:szCs w:val="21"/>
                <w:lang w:eastAsia="zh-CN"/>
              </w:rPr>
              <w:t>响应人</w:t>
            </w:r>
            <w:r>
              <w:rPr>
                <w:rFonts w:hint="eastAsia" w:ascii="宋体" w:hAnsi="宋体" w:cs="宋体"/>
                <w:szCs w:val="21"/>
              </w:rPr>
              <w:t>须知”第1.3.3项规定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49" w:hRule="atLeast"/>
        </w:trPr>
        <w:tc>
          <w:tcPr>
            <w:tcW w:w="429" w:type="pct"/>
            <w:vMerge w:val="continue"/>
            <w:tcBorders>
              <w:top w:val="single" w:color="auto" w:sz="4" w:space="0"/>
              <w:bottom w:val="single" w:color="auto" w:sz="4" w:space="0"/>
              <w:right w:val="single" w:color="auto" w:sz="4" w:space="0"/>
            </w:tcBorders>
            <w:vAlign w:val="center"/>
          </w:tcPr>
          <w:p>
            <w:pPr>
              <w:adjustRightInd w:val="0"/>
              <w:spacing w:line="360" w:lineRule="auto"/>
              <w:jc w:val="center"/>
              <w:textAlignment w:val="baseline"/>
              <w:rPr>
                <w:rFonts w:ascii="宋体" w:hAnsi="宋体" w:cs="宋体"/>
                <w:szCs w:val="21"/>
              </w:rPr>
            </w:pPr>
          </w:p>
        </w:tc>
        <w:tc>
          <w:tcPr>
            <w:tcW w:w="624" w:type="pct"/>
            <w:vMerge w:val="continue"/>
            <w:tcBorders>
              <w:right w:val="single" w:color="auto" w:sz="4" w:space="0"/>
            </w:tcBorders>
            <w:vAlign w:val="center"/>
          </w:tcPr>
          <w:p>
            <w:pPr>
              <w:adjustRightInd w:val="0"/>
              <w:spacing w:line="360" w:lineRule="auto"/>
              <w:jc w:val="center"/>
              <w:textAlignment w:val="baseline"/>
              <w:rPr>
                <w:rFonts w:ascii="宋体" w:hAnsi="宋体" w:cs="宋体"/>
                <w:kern w:val="0"/>
                <w:szCs w:val="21"/>
              </w:rPr>
            </w:pPr>
          </w:p>
        </w:tc>
        <w:tc>
          <w:tcPr>
            <w:tcW w:w="924" w:type="pct"/>
            <w:tcBorders>
              <w:top w:val="single" w:color="auto" w:sz="4" w:space="0"/>
              <w:left w:val="single" w:color="auto" w:sz="4" w:space="0"/>
              <w:right w:val="single" w:color="auto" w:sz="4" w:space="0"/>
            </w:tcBorders>
            <w:vAlign w:val="center"/>
          </w:tcPr>
          <w:p>
            <w:pPr>
              <w:spacing w:line="360" w:lineRule="auto"/>
              <w:jc w:val="center"/>
              <w:rPr>
                <w:rFonts w:ascii="宋体" w:hAnsi="宋体" w:cs="宋体"/>
                <w:szCs w:val="21"/>
              </w:rPr>
            </w:pPr>
            <w:r>
              <w:rPr>
                <w:rFonts w:hint="eastAsia" w:ascii="宋体" w:hAnsi="宋体"/>
                <w:szCs w:val="21"/>
              </w:rPr>
              <w:t>磋商有效期</w:t>
            </w:r>
          </w:p>
        </w:tc>
        <w:tc>
          <w:tcPr>
            <w:tcW w:w="3021" w:type="pct"/>
            <w:gridSpan w:val="6"/>
            <w:tcBorders>
              <w:top w:val="single" w:color="auto" w:sz="4" w:space="0"/>
              <w:left w:val="single" w:color="auto" w:sz="4" w:space="0"/>
              <w:bottom w:val="single" w:color="auto" w:sz="4" w:space="0"/>
              <w:right w:val="single" w:color="auto" w:sz="4" w:space="0"/>
            </w:tcBorders>
            <w:vAlign w:val="center"/>
          </w:tcPr>
          <w:p>
            <w:pPr>
              <w:adjustRightInd w:val="0"/>
              <w:spacing w:line="360" w:lineRule="auto"/>
              <w:jc w:val="center"/>
              <w:textAlignment w:val="baseline"/>
              <w:rPr>
                <w:rFonts w:ascii="宋体" w:hAnsi="宋体" w:cs="宋体"/>
                <w:szCs w:val="21"/>
              </w:rPr>
            </w:pPr>
            <w:r>
              <w:rPr>
                <w:rFonts w:hint="eastAsia" w:ascii="宋体" w:hAnsi="宋体" w:cs="宋体"/>
                <w:szCs w:val="21"/>
              </w:rPr>
              <w:t>符合第二章“</w:t>
            </w:r>
            <w:r>
              <w:rPr>
                <w:rFonts w:hint="eastAsia" w:ascii="宋体" w:hAnsi="宋体" w:cs="宋体"/>
                <w:szCs w:val="21"/>
                <w:lang w:eastAsia="zh-CN"/>
              </w:rPr>
              <w:t>响应人</w:t>
            </w:r>
            <w:r>
              <w:rPr>
                <w:rFonts w:hint="eastAsia" w:ascii="宋体" w:hAnsi="宋体" w:cs="宋体"/>
                <w:szCs w:val="21"/>
              </w:rPr>
              <w:t>须知”第3.3.1项规定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3" w:hRule="atLeast"/>
        </w:trPr>
        <w:tc>
          <w:tcPr>
            <w:tcW w:w="429" w:type="pct"/>
            <w:vMerge w:val="continue"/>
            <w:tcBorders>
              <w:top w:val="single" w:color="auto" w:sz="4" w:space="0"/>
              <w:bottom w:val="single" w:color="auto" w:sz="4" w:space="0"/>
              <w:right w:val="single" w:color="auto" w:sz="4" w:space="0"/>
            </w:tcBorders>
            <w:vAlign w:val="center"/>
          </w:tcPr>
          <w:p>
            <w:pPr>
              <w:adjustRightInd w:val="0"/>
              <w:spacing w:line="360" w:lineRule="auto"/>
              <w:jc w:val="center"/>
              <w:textAlignment w:val="baseline"/>
              <w:rPr>
                <w:rFonts w:ascii="宋体" w:hAnsi="宋体" w:cs="宋体"/>
                <w:szCs w:val="21"/>
              </w:rPr>
            </w:pPr>
          </w:p>
        </w:tc>
        <w:tc>
          <w:tcPr>
            <w:tcW w:w="624" w:type="pct"/>
            <w:vMerge w:val="continue"/>
            <w:tcBorders>
              <w:right w:val="single" w:color="auto" w:sz="4" w:space="0"/>
            </w:tcBorders>
            <w:vAlign w:val="center"/>
          </w:tcPr>
          <w:p>
            <w:pPr>
              <w:adjustRightInd w:val="0"/>
              <w:spacing w:line="360" w:lineRule="auto"/>
              <w:jc w:val="center"/>
              <w:textAlignment w:val="baseline"/>
              <w:rPr>
                <w:rFonts w:ascii="宋体" w:hAnsi="宋体" w:cs="宋体"/>
                <w:kern w:val="0"/>
                <w:szCs w:val="21"/>
              </w:rPr>
            </w:pPr>
          </w:p>
        </w:tc>
        <w:tc>
          <w:tcPr>
            <w:tcW w:w="924"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1"/>
              </w:rPr>
            </w:pPr>
            <w:r>
              <w:rPr>
                <w:rFonts w:hint="eastAsia" w:ascii="宋体" w:hAnsi="宋体"/>
                <w:szCs w:val="21"/>
              </w:rPr>
              <w:t>磋商报价</w:t>
            </w:r>
          </w:p>
        </w:tc>
        <w:tc>
          <w:tcPr>
            <w:tcW w:w="3021" w:type="pct"/>
            <w:gridSpan w:val="6"/>
            <w:tcBorders>
              <w:top w:val="single" w:color="auto" w:sz="4" w:space="0"/>
              <w:left w:val="single" w:color="auto" w:sz="4" w:space="0"/>
              <w:bottom w:val="single" w:color="auto" w:sz="4" w:space="0"/>
              <w:right w:val="single" w:color="auto" w:sz="4" w:space="0"/>
            </w:tcBorders>
            <w:vAlign w:val="center"/>
          </w:tcPr>
          <w:p>
            <w:pPr>
              <w:adjustRightInd w:val="0"/>
              <w:spacing w:line="360" w:lineRule="auto"/>
              <w:jc w:val="center"/>
              <w:textAlignment w:val="baseline"/>
              <w:rPr>
                <w:rFonts w:ascii="宋体" w:hAnsi="宋体" w:cs="宋体"/>
                <w:szCs w:val="21"/>
              </w:rPr>
            </w:pPr>
            <w:r>
              <w:rPr>
                <w:rFonts w:hint="eastAsia" w:ascii="宋体" w:hAnsi="宋体" w:cs="宋体"/>
                <w:szCs w:val="21"/>
              </w:rPr>
              <w:t>磋商报价在规定的报价要求范围之内，未超出预算价</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61" w:hRule="atLeast"/>
        </w:trPr>
        <w:tc>
          <w:tcPr>
            <w:tcW w:w="429" w:type="pct"/>
            <w:vMerge w:val="continue"/>
            <w:tcBorders>
              <w:top w:val="single" w:color="auto" w:sz="4" w:space="0"/>
              <w:bottom w:val="single" w:color="auto" w:sz="4" w:space="0"/>
              <w:right w:val="single" w:color="auto" w:sz="4" w:space="0"/>
            </w:tcBorders>
            <w:vAlign w:val="center"/>
          </w:tcPr>
          <w:p>
            <w:pPr>
              <w:adjustRightInd w:val="0"/>
              <w:spacing w:line="360" w:lineRule="auto"/>
              <w:jc w:val="center"/>
              <w:textAlignment w:val="baseline"/>
              <w:rPr>
                <w:rFonts w:ascii="宋体" w:hAnsi="宋体" w:cs="宋体"/>
                <w:szCs w:val="21"/>
              </w:rPr>
            </w:pPr>
          </w:p>
        </w:tc>
        <w:tc>
          <w:tcPr>
            <w:tcW w:w="624" w:type="pct"/>
            <w:vMerge w:val="continue"/>
            <w:tcBorders>
              <w:bottom w:val="single" w:color="auto" w:sz="4" w:space="0"/>
              <w:right w:val="single" w:color="auto" w:sz="4" w:space="0"/>
            </w:tcBorders>
            <w:vAlign w:val="center"/>
          </w:tcPr>
          <w:p>
            <w:pPr>
              <w:adjustRightInd w:val="0"/>
              <w:spacing w:line="360" w:lineRule="auto"/>
              <w:jc w:val="center"/>
              <w:textAlignment w:val="baseline"/>
              <w:rPr>
                <w:rFonts w:ascii="宋体" w:hAnsi="宋体" w:cs="宋体"/>
                <w:kern w:val="0"/>
                <w:szCs w:val="21"/>
              </w:rPr>
            </w:pPr>
          </w:p>
        </w:tc>
        <w:tc>
          <w:tcPr>
            <w:tcW w:w="924"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1"/>
              </w:rPr>
            </w:pPr>
            <w:r>
              <w:rPr>
                <w:rFonts w:hint="eastAsia" w:ascii="宋体" w:hAnsi="宋体"/>
                <w:szCs w:val="21"/>
              </w:rPr>
              <w:t>磋商文件制作机器码</w:t>
            </w:r>
          </w:p>
        </w:tc>
        <w:tc>
          <w:tcPr>
            <w:tcW w:w="3021" w:type="pct"/>
            <w:gridSpan w:val="6"/>
            <w:tcBorders>
              <w:top w:val="single" w:color="auto" w:sz="4" w:space="0"/>
              <w:left w:val="single" w:color="auto" w:sz="4" w:space="0"/>
              <w:bottom w:val="single" w:color="auto" w:sz="4" w:space="0"/>
              <w:right w:val="single" w:color="auto" w:sz="4" w:space="0"/>
            </w:tcBorders>
            <w:vAlign w:val="center"/>
          </w:tcPr>
          <w:p>
            <w:pPr>
              <w:adjustRightInd w:val="0"/>
              <w:spacing w:line="360" w:lineRule="auto"/>
              <w:jc w:val="center"/>
              <w:textAlignment w:val="baseline"/>
              <w:rPr>
                <w:rFonts w:ascii="宋体" w:hAnsi="宋体" w:cs="宋体"/>
                <w:szCs w:val="21"/>
              </w:rPr>
            </w:pPr>
            <w:r>
              <w:rPr>
                <w:rFonts w:hint="eastAsia" w:ascii="宋体" w:hAnsi="宋体" w:cs="宋体"/>
                <w:szCs w:val="21"/>
              </w:rPr>
              <w:t>未与其他</w:t>
            </w:r>
            <w:r>
              <w:rPr>
                <w:rFonts w:hint="eastAsia" w:ascii="宋体" w:hAnsi="宋体" w:cs="宋体"/>
                <w:szCs w:val="21"/>
                <w:lang w:eastAsia="zh-CN"/>
              </w:rPr>
              <w:t>响应人</w:t>
            </w:r>
            <w:r>
              <w:rPr>
                <w:rFonts w:hint="eastAsia" w:ascii="宋体" w:hAnsi="宋体" w:cs="宋体"/>
                <w:szCs w:val="21"/>
              </w:rPr>
              <w:t>的响应文件制作机器码一致</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61" w:hRule="atLeast"/>
        </w:trPr>
        <w:tc>
          <w:tcPr>
            <w:tcW w:w="5000" w:type="pct"/>
            <w:gridSpan w:val="9"/>
            <w:tcBorders>
              <w:bottom w:val="single" w:color="auto" w:sz="4" w:space="0"/>
              <w:right w:val="single" w:color="auto" w:sz="4" w:space="0"/>
            </w:tcBorders>
            <w:vAlign w:val="center"/>
          </w:tcPr>
          <w:p>
            <w:pPr>
              <w:adjustRightInd w:val="0"/>
              <w:spacing w:line="360" w:lineRule="auto"/>
              <w:jc w:val="center"/>
              <w:textAlignment w:val="baseline"/>
              <w:rPr>
                <w:rFonts w:hint="eastAsia" w:ascii="宋体" w:hAnsi="宋体" w:cs="宋体"/>
                <w:szCs w:val="21"/>
              </w:rPr>
            </w:pPr>
            <w:r>
              <w:rPr>
                <w:rFonts w:hint="eastAsia" w:ascii="宋体" w:hAnsi="宋体" w:cs="宋体"/>
                <w:szCs w:val="21"/>
              </w:rPr>
              <w:t>详细评审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71" w:hRule="atLeast"/>
        </w:trPr>
        <w:tc>
          <w:tcPr>
            <w:tcW w:w="429" w:type="pct"/>
            <w:tcBorders>
              <w:top w:val="single" w:color="000000" w:sz="4" w:space="0"/>
              <w:left w:val="single" w:color="auto" w:sz="4" w:space="0"/>
              <w:bottom w:val="single" w:color="000000" w:sz="4" w:space="0"/>
              <w:right w:val="single" w:color="auto" w:sz="4" w:space="0"/>
            </w:tcBorders>
            <w:vAlign w:val="center"/>
          </w:tcPr>
          <w:p>
            <w:pPr>
              <w:autoSpaceDE w:val="0"/>
              <w:autoSpaceDN w:val="0"/>
              <w:adjustRightInd w:val="0"/>
              <w:spacing w:before="50" w:line="276" w:lineRule="auto"/>
              <w:ind w:left="59" w:leftChars="28" w:right="96" w:firstLine="4" w:firstLineChars="2"/>
              <w:jc w:val="center"/>
            </w:pPr>
            <w:r>
              <w:rPr>
                <w:rFonts w:hint="eastAsia"/>
              </w:rPr>
              <w:t>2</w:t>
            </w:r>
            <w:r>
              <w:t>.2.1</w:t>
            </w:r>
          </w:p>
          <w:p>
            <w:pPr>
              <w:pStyle w:val="2"/>
              <w:rPr>
                <w:rFonts w:hint="default" w:eastAsia="宋体"/>
                <w:lang w:val="en-US" w:eastAsia="zh-CN"/>
              </w:rPr>
            </w:pPr>
            <w:r>
              <w:rPr>
                <w:rFonts w:hint="eastAsia" w:hAnsi="宋体" w:cs="宋体"/>
                <w:kern w:val="0"/>
                <w:sz w:val="21"/>
                <w:szCs w:val="18"/>
                <w:lang w:val="en-US" w:eastAsia="zh-CN"/>
              </w:rPr>
              <w:t>详</w:t>
            </w:r>
            <w:r>
              <w:rPr>
                <w:rFonts w:hint="eastAsia" w:ascii="宋体" w:hAnsi="宋体" w:eastAsia="宋体" w:cs="宋体"/>
                <w:color w:val="auto"/>
                <w:kern w:val="0"/>
                <w:sz w:val="21"/>
                <w:szCs w:val="21"/>
                <w:lang w:val="en-US" w:eastAsia="zh-CN" w:bidi="ar-SA"/>
              </w:rPr>
              <w:t>细评审</w:t>
            </w:r>
          </w:p>
        </w:tc>
        <w:tc>
          <w:tcPr>
            <w:tcW w:w="624" w:type="pct"/>
            <w:tcBorders>
              <w:top w:val="single" w:color="000000" w:sz="4" w:space="0"/>
              <w:left w:val="single" w:color="auto" w:sz="4" w:space="0"/>
              <w:bottom w:val="single" w:color="000000" w:sz="4" w:space="0"/>
              <w:right w:val="single" w:color="auto" w:sz="4" w:space="0"/>
            </w:tcBorders>
            <w:vAlign w:val="center"/>
          </w:tcPr>
          <w:p>
            <w:pPr>
              <w:autoSpaceDE w:val="0"/>
              <w:autoSpaceDN w:val="0"/>
              <w:adjustRightInd w:val="0"/>
              <w:spacing w:before="50" w:line="276" w:lineRule="auto"/>
              <w:ind w:left="59" w:leftChars="28" w:right="96" w:firstLine="4" w:firstLineChars="2"/>
              <w:jc w:val="center"/>
              <w:rPr>
                <w:rFonts w:ascii="宋体" w:hAnsi="宋体" w:eastAsia="宋体" w:cs="宋体"/>
                <w:kern w:val="0"/>
                <w:szCs w:val="21"/>
              </w:rPr>
            </w:pPr>
            <w:r>
              <w:rPr>
                <w:rFonts w:hint="eastAsia" w:ascii="宋体" w:hAnsi="宋体" w:eastAsia="宋体" w:cs="宋体"/>
                <w:kern w:val="0"/>
                <w:szCs w:val="21"/>
              </w:rPr>
              <w:t>最后磋商报价</w:t>
            </w:r>
          </w:p>
        </w:tc>
        <w:tc>
          <w:tcPr>
            <w:tcW w:w="924" w:type="pct"/>
            <w:tcBorders>
              <w:top w:val="single" w:color="000000" w:sz="4" w:space="0"/>
              <w:left w:val="single" w:color="auto" w:sz="4" w:space="0"/>
              <w:bottom w:val="single" w:color="000000" w:sz="4" w:space="0"/>
              <w:right w:val="single" w:color="000000" w:sz="4" w:space="0"/>
            </w:tcBorders>
            <w:vAlign w:val="center"/>
          </w:tcPr>
          <w:p>
            <w:pPr>
              <w:autoSpaceDE w:val="0"/>
              <w:autoSpaceDN w:val="0"/>
              <w:adjustRightInd w:val="0"/>
              <w:spacing w:before="50" w:line="276" w:lineRule="auto"/>
              <w:ind w:left="137" w:right="97" w:firstLine="58" w:firstLineChars="28"/>
              <w:jc w:val="center"/>
              <w:rPr>
                <w:rFonts w:ascii="宋体" w:hAnsi="宋体" w:eastAsia="宋体" w:cs="宋体"/>
                <w:kern w:val="0"/>
                <w:szCs w:val="21"/>
              </w:rPr>
            </w:pPr>
            <w:r>
              <w:rPr>
                <w:rFonts w:ascii="宋体" w:hAnsi="宋体" w:eastAsia="宋体" w:cs="宋体"/>
                <w:kern w:val="0"/>
                <w:szCs w:val="21"/>
              </w:rPr>
              <w:t>评分标准</w:t>
            </w:r>
          </w:p>
          <w:p>
            <w:pPr>
              <w:autoSpaceDE w:val="0"/>
              <w:autoSpaceDN w:val="0"/>
              <w:adjustRightInd w:val="0"/>
              <w:spacing w:before="50" w:line="276" w:lineRule="auto"/>
              <w:ind w:right="97" w:firstLine="58" w:firstLineChars="28"/>
              <w:jc w:val="center"/>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lang w:val="en-US" w:eastAsia="zh-CN"/>
              </w:rPr>
              <w:t>40</w:t>
            </w:r>
            <w:r>
              <w:rPr>
                <w:rFonts w:ascii="宋体" w:hAnsi="宋体" w:eastAsia="宋体" w:cs="宋体"/>
                <w:kern w:val="0"/>
                <w:szCs w:val="21"/>
              </w:rPr>
              <w:t>分）</w:t>
            </w:r>
          </w:p>
        </w:tc>
        <w:tc>
          <w:tcPr>
            <w:tcW w:w="3021" w:type="pct"/>
            <w:gridSpan w:val="6"/>
            <w:tcBorders>
              <w:top w:val="single" w:color="000000" w:sz="4" w:space="0"/>
              <w:left w:val="single" w:color="000000" w:sz="4" w:space="0"/>
              <w:bottom w:val="single" w:color="000000" w:sz="4" w:space="0"/>
              <w:right w:val="single" w:color="000000" w:sz="4" w:space="0"/>
            </w:tcBorders>
            <w:vAlign w:val="center"/>
          </w:tcPr>
          <w:p>
            <w:pPr>
              <w:pStyle w:val="2"/>
              <w:spacing w:line="276" w:lineRule="auto"/>
              <w:ind w:firstLine="105" w:firstLineChars="50"/>
              <w:rPr>
                <w:rFonts w:hint="eastAsia" w:hAnsi="宋体"/>
                <w:color w:val="auto"/>
                <w:sz w:val="21"/>
                <w:szCs w:val="21"/>
              </w:rPr>
            </w:pPr>
            <w:r>
              <w:rPr>
                <w:rFonts w:hint="eastAsia" w:hAnsi="宋体"/>
                <w:color w:val="auto"/>
                <w:sz w:val="21"/>
                <w:szCs w:val="21"/>
              </w:rPr>
              <w:t>（1）通过响应性评审的投标人的投标报价为有效投标报价，其评标价为有效评标价。</w:t>
            </w:r>
          </w:p>
          <w:p>
            <w:pPr>
              <w:pStyle w:val="2"/>
              <w:spacing w:line="276" w:lineRule="auto"/>
              <w:ind w:firstLine="105" w:firstLineChars="50"/>
              <w:rPr>
                <w:rFonts w:hint="eastAsia" w:hAnsi="宋体"/>
                <w:color w:val="auto"/>
                <w:sz w:val="21"/>
                <w:szCs w:val="21"/>
              </w:rPr>
            </w:pPr>
            <w:r>
              <w:rPr>
                <w:rFonts w:hint="eastAsia" w:hAnsi="宋体"/>
                <w:color w:val="auto"/>
                <w:sz w:val="21"/>
                <w:szCs w:val="21"/>
              </w:rPr>
              <w:t>（</w:t>
            </w:r>
            <w:r>
              <w:rPr>
                <w:rFonts w:hint="eastAsia" w:hAnsi="宋体"/>
                <w:color w:val="auto"/>
                <w:sz w:val="21"/>
                <w:szCs w:val="21"/>
                <w:lang w:val="en-US" w:eastAsia="zh-CN"/>
              </w:rPr>
              <w:t>2</w:t>
            </w:r>
            <w:r>
              <w:rPr>
                <w:rFonts w:hint="eastAsia" w:hAnsi="宋体"/>
                <w:color w:val="auto"/>
                <w:sz w:val="21"/>
                <w:szCs w:val="21"/>
              </w:rPr>
              <w:t>）评标基准值的确定：</w:t>
            </w:r>
          </w:p>
          <w:p>
            <w:pPr>
              <w:pStyle w:val="2"/>
              <w:spacing w:line="276" w:lineRule="auto"/>
              <w:rPr>
                <w:rFonts w:hint="eastAsia" w:hAnsi="宋体"/>
                <w:color w:val="auto"/>
                <w:sz w:val="21"/>
                <w:szCs w:val="21"/>
              </w:rPr>
            </w:pPr>
            <w:r>
              <w:rPr>
                <w:rFonts w:hint="eastAsia" w:hAnsi="宋体"/>
                <w:color w:val="auto"/>
                <w:sz w:val="21"/>
                <w:szCs w:val="21"/>
              </w:rPr>
              <w:t>当有效投标人多于</w:t>
            </w:r>
            <w:r>
              <w:rPr>
                <w:rFonts w:hint="eastAsia" w:hAnsi="宋体"/>
                <w:color w:val="auto"/>
                <w:sz w:val="21"/>
                <w:szCs w:val="21"/>
                <w:lang w:val="en-US" w:eastAsia="zh-CN"/>
              </w:rPr>
              <w:t>五</w:t>
            </w:r>
            <w:r>
              <w:rPr>
                <w:rFonts w:hint="eastAsia" w:hAnsi="宋体"/>
                <w:color w:val="auto"/>
                <w:sz w:val="21"/>
                <w:szCs w:val="21"/>
              </w:rPr>
              <w:t>家时（含</w:t>
            </w:r>
            <w:r>
              <w:rPr>
                <w:rFonts w:hint="eastAsia" w:hAnsi="宋体"/>
                <w:color w:val="auto"/>
                <w:sz w:val="21"/>
                <w:szCs w:val="21"/>
                <w:lang w:val="en-US" w:eastAsia="zh-CN"/>
              </w:rPr>
              <w:t>五</w:t>
            </w:r>
            <w:r>
              <w:rPr>
                <w:rFonts w:hint="eastAsia" w:hAnsi="宋体"/>
                <w:color w:val="auto"/>
                <w:sz w:val="21"/>
                <w:szCs w:val="21"/>
              </w:rPr>
              <w:t>家），评标基准值为各有效评标价去掉</w:t>
            </w:r>
            <w:r>
              <w:rPr>
                <w:rFonts w:hint="eastAsia" w:hAnsi="宋体"/>
                <w:color w:val="auto"/>
                <w:sz w:val="21"/>
                <w:szCs w:val="21"/>
                <w:lang w:val="en-US" w:eastAsia="zh-CN"/>
              </w:rPr>
              <w:t>一</w:t>
            </w:r>
            <w:r>
              <w:rPr>
                <w:rFonts w:hint="eastAsia" w:hAnsi="宋体"/>
                <w:color w:val="auto"/>
                <w:sz w:val="21"/>
                <w:szCs w:val="21"/>
              </w:rPr>
              <w:t>个最高价和</w:t>
            </w:r>
            <w:r>
              <w:rPr>
                <w:rFonts w:hint="eastAsia" w:hAnsi="宋体"/>
                <w:color w:val="auto"/>
                <w:sz w:val="21"/>
                <w:szCs w:val="21"/>
                <w:lang w:val="en-US" w:eastAsia="zh-CN"/>
              </w:rPr>
              <w:t>一</w:t>
            </w:r>
            <w:r>
              <w:rPr>
                <w:rFonts w:hint="eastAsia" w:hAnsi="宋体"/>
                <w:color w:val="auto"/>
                <w:sz w:val="21"/>
                <w:szCs w:val="21"/>
              </w:rPr>
              <w:t>个最低报价后的算术平均值；当有效投标人少于五家时（不含五家），评标基准值为所有有效投标价的算术平均值。</w:t>
            </w:r>
          </w:p>
          <w:p>
            <w:pPr>
              <w:pStyle w:val="2"/>
              <w:spacing w:line="276" w:lineRule="auto"/>
              <w:rPr>
                <w:rFonts w:hAnsi="宋体"/>
                <w:color w:val="auto"/>
                <w:sz w:val="21"/>
                <w:szCs w:val="21"/>
              </w:rPr>
            </w:pPr>
            <w:r>
              <w:rPr>
                <w:rFonts w:hint="eastAsia" w:hAnsi="宋体"/>
                <w:color w:val="auto"/>
                <w:sz w:val="21"/>
                <w:szCs w:val="21"/>
              </w:rPr>
              <w:t>（</w:t>
            </w:r>
            <w:r>
              <w:rPr>
                <w:rFonts w:hint="eastAsia" w:hAnsi="宋体"/>
                <w:color w:val="auto"/>
                <w:sz w:val="21"/>
                <w:szCs w:val="21"/>
                <w:lang w:val="en-US" w:eastAsia="zh-CN"/>
              </w:rPr>
              <w:t>3</w:t>
            </w:r>
            <w:r>
              <w:rPr>
                <w:rFonts w:hint="eastAsia" w:hAnsi="宋体"/>
                <w:color w:val="auto"/>
                <w:sz w:val="21"/>
                <w:szCs w:val="21"/>
              </w:rPr>
              <w:t>）投标人评标价与评标基准价相等者，得满分40分；评标价高于</w:t>
            </w:r>
            <w:r>
              <w:rPr>
                <w:rFonts w:hint="eastAsia" w:hAnsi="宋体"/>
                <w:color w:val="auto"/>
                <w:sz w:val="21"/>
                <w:szCs w:val="21"/>
                <w:lang w:val="en-US" w:eastAsia="zh-CN"/>
              </w:rPr>
              <w:t>或</w:t>
            </w:r>
            <w:r>
              <w:rPr>
                <w:rFonts w:hint="eastAsia" w:hAnsi="宋体"/>
                <w:color w:val="auto"/>
                <w:sz w:val="21"/>
                <w:szCs w:val="21"/>
              </w:rPr>
              <w:t>低于评标基准值者，按照每高于或低于1%扣1分的比例，在满分基础上扣分，最多扣5分。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60" w:hRule="atLeast"/>
        </w:trPr>
        <w:tc>
          <w:tcPr>
            <w:tcW w:w="429" w:type="pct"/>
            <w:vMerge w:val="restart"/>
            <w:tcBorders>
              <w:top w:val="single" w:color="000000" w:sz="4" w:space="0"/>
              <w:left w:val="single" w:color="auto" w:sz="4" w:space="0"/>
              <w:right w:val="single" w:color="auto" w:sz="4" w:space="0"/>
            </w:tcBorders>
            <w:vAlign w:val="center"/>
          </w:tcPr>
          <w:p>
            <w:pPr>
              <w:autoSpaceDE w:val="0"/>
              <w:autoSpaceDN w:val="0"/>
              <w:adjustRightInd w:val="0"/>
              <w:spacing w:before="50" w:line="276" w:lineRule="auto"/>
              <w:ind w:left="59" w:leftChars="28" w:right="96" w:firstLine="4" w:firstLineChars="2"/>
              <w:jc w:val="center"/>
              <w:rPr>
                <w:rFonts w:ascii="宋体" w:hAnsi="宋体" w:eastAsia="宋体" w:cs="宋体"/>
                <w:kern w:val="0"/>
                <w:szCs w:val="21"/>
              </w:rPr>
            </w:pPr>
            <w:r>
              <w:rPr>
                <w:rFonts w:hint="eastAsia" w:ascii="宋体" w:hAnsi="宋体" w:eastAsia="宋体" w:cs="宋体"/>
                <w:kern w:val="0"/>
                <w:szCs w:val="21"/>
              </w:rPr>
              <w:t>2.2.2</w:t>
            </w:r>
          </w:p>
        </w:tc>
        <w:tc>
          <w:tcPr>
            <w:tcW w:w="624" w:type="pct"/>
            <w:vMerge w:val="restart"/>
            <w:tcBorders>
              <w:top w:val="single" w:color="000000" w:sz="4" w:space="0"/>
              <w:left w:val="single" w:color="auto" w:sz="4" w:space="0"/>
              <w:right w:val="single" w:color="auto" w:sz="4" w:space="0"/>
            </w:tcBorders>
            <w:vAlign w:val="center"/>
          </w:tcPr>
          <w:p>
            <w:pPr>
              <w:autoSpaceDE w:val="0"/>
              <w:autoSpaceDN w:val="0"/>
              <w:adjustRightInd w:val="0"/>
              <w:spacing w:before="50" w:line="276" w:lineRule="auto"/>
              <w:ind w:left="59" w:leftChars="28" w:right="97" w:firstLine="4" w:firstLineChars="2"/>
              <w:rPr>
                <w:rFonts w:ascii="宋体" w:hAnsi="宋体" w:eastAsia="宋体" w:cs="宋体"/>
                <w:kern w:val="0"/>
                <w:szCs w:val="21"/>
              </w:rPr>
            </w:pPr>
            <w:r>
              <w:rPr>
                <w:rFonts w:hint="eastAsia" w:ascii="宋体" w:hAnsi="宋体"/>
                <w:szCs w:val="21"/>
              </w:rPr>
              <w:t>技术部分评分标准（施工组织设计评分标准）</w:t>
            </w:r>
            <w:r>
              <w:rPr>
                <w:rFonts w:hint="eastAsia" w:ascii="宋体" w:hAnsi="宋体"/>
                <w:szCs w:val="21"/>
                <w:lang w:val="en-US" w:eastAsia="zh-CN"/>
              </w:rPr>
              <w:t>50</w:t>
            </w:r>
            <w:r>
              <w:rPr>
                <w:rFonts w:hint="eastAsia" w:ascii="宋体" w:hAnsi="宋体"/>
                <w:szCs w:val="21"/>
              </w:rPr>
              <w:t>分</w:t>
            </w:r>
          </w:p>
        </w:tc>
        <w:tc>
          <w:tcPr>
            <w:tcW w:w="924" w:type="pct"/>
            <w:tcBorders>
              <w:top w:val="single" w:color="000000" w:sz="4" w:space="0"/>
              <w:left w:val="single" w:color="auto" w:sz="4" w:space="0"/>
              <w:bottom w:val="single" w:color="000000" w:sz="4" w:space="0"/>
              <w:right w:val="single" w:color="000000" w:sz="4" w:space="0"/>
            </w:tcBorders>
            <w:vAlign w:val="center"/>
          </w:tcPr>
          <w:p>
            <w:pPr>
              <w:jc w:val="center"/>
              <w:rPr>
                <w:rFonts w:ascii="宋体" w:hAnsi="宋体" w:eastAsia="宋体" w:cs="宋体"/>
                <w:kern w:val="0"/>
                <w:szCs w:val="21"/>
              </w:rPr>
            </w:pPr>
            <w:r>
              <w:rPr>
                <w:rFonts w:hint="eastAsia" w:ascii="宋体" w:hAnsi="宋体"/>
                <w:bCs/>
                <w:color w:val="000000"/>
                <w:szCs w:val="21"/>
              </w:rPr>
              <w:t>序号</w:t>
            </w:r>
          </w:p>
        </w:tc>
        <w:tc>
          <w:tcPr>
            <w:tcW w:w="877" w:type="pct"/>
            <w:gridSpan w:val="2"/>
            <w:tcBorders>
              <w:top w:val="single" w:color="000000" w:sz="4" w:space="0"/>
              <w:left w:val="single" w:color="000000" w:sz="4" w:space="0"/>
              <w:bottom w:val="single" w:color="000000" w:sz="4" w:space="0"/>
              <w:right w:val="single" w:color="000000" w:sz="4" w:space="0"/>
            </w:tcBorders>
            <w:vAlign w:val="center"/>
          </w:tcPr>
          <w:p>
            <w:pPr>
              <w:jc w:val="center"/>
              <w:rPr>
                <w:rFonts w:hAnsi="宋体"/>
                <w:color w:val="auto"/>
                <w:sz w:val="21"/>
                <w:szCs w:val="21"/>
              </w:rPr>
            </w:pPr>
            <w:r>
              <w:rPr>
                <w:rFonts w:hint="eastAsia" w:ascii="宋体" w:hAnsi="宋体"/>
                <w:bCs/>
                <w:color w:val="000000"/>
                <w:szCs w:val="21"/>
              </w:rPr>
              <w:t>评分因素</w:t>
            </w:r>
          </w:p>
        </w:tc>
        <w:tc>
          <w:tcPr>
            <w:tcW w:w="1463" w:type="pct"/>
            <w:gridSpan w:val="3"/>
            <w:tcBorders>
              <w:top w:val="single" w:color="000000" w:sz="4" w:space="0"/>
              <w:left w:val="single" w:color="000000" w:sz="4" w:space="0"/>
              <w:bottom w:val="single" w:color="000000" w:sz="4" w:space="0"/>
              <w:right w:val="single" w:color="000000" w:sz="4" w:space="0"/>
            </w:tcBorders>
            <w:vAlign w:val="center"/>
          </w:tcPr>
          <w:p>
            <w:pPr>
              <w:jc w:val="center"/>
              <w:rPr>
                <w:rFonts w:hAnsi="宋体"/>
                <w:color w:val="auto"/>
                <w:sz w:val="21"/>
                <w:szCs w:val="21"/>
              </w:rPr>
            </w:pPr>
            <w:r>
              <w:rPr>
                <w:rFonts w:hint="eastAsia" w:ascii="宋体" w:hAnsi="宋体"/>
                <w:bCs/>
                <w:color w:val="000000"/>
                <w:szCs w:val="21"/>
              </w:rPr>
              <w:t>评审规则</w:t>
            </w:r>
          </w:p>
        </w:tc>
        <w:tc>
          <w:tcPr>
            <w:tcW w:w="679" w:type="pct"/>
            <w:tcBorders>
              <w:top w:val="single" w:color="000000" w:sz="4" w:space="0"/>
              <w:left w:val="single" w:color="000000" w:sz="4" w:space="0"/>
              <w:bottom w:val="single" w:color="000000" w:sz="4" w:space="0"/>
              <w:right w:val="single" w:color="000000" w:sz="4" w:space="0"/>
            </w:tcBorders>
            <w:vAlign w:val="center"/>
          </w:tcPr>
          <w:p>
            <w:pPr>
              <w:jc w:val="center"/>
              <w:rPr>
                <w:rFonts w:hAnsi="宋体"/>
                <w:color w:val="auto"/>
                <w:sz w:val="21"/>
                <w:szCs w:val="21"/>
              </w:rPr>
            </w:pPr>
            <w:r>
              <w:rPr>
                <w:rFonts w:hint="eastAsia" w:ascii="宋体" w:hAnsi="宋体"/>
                <w:bCs/>
                <w:color w:val="000000"/>
                <w:szCs w:val="21"/>
              </w:rPr>
              <w:t>分值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71" w:hRule="atLeast"/>
        </w:trPr>
        <w:tc>
          <w:tcPr>
            <w:tcW w:w="429" w:type="pct"/>
            <w:vMerge w:val="continue"/>
            <w:tcBorders>
              <w:left w:val="single" w:color="auto" w:sz="4" w:space="0"/>
              <w:right w:val="single" w:color="auto" w:sz="4" w:space="0"/>
            </w:tcBorders>
            <w:vAlign w:val="center"/>
          </w:tcPr>
          <w:p>
            <w:pPr>
              <w:autoSpaceDE w:val="0"/>
              <w:autoSpaceDN w:val="0"/>
              <w:adjustRightInd w:val="0"/>
              <w:spacing w:before="50" w:line="276" w:lineRule="auto"/>
              <w:ind w:left="59" w:leftChars="28" w:right="96" w:firstLine="4" w:firstLineChars="2"/>
              <w:jc w:val="center"/>
              <w:rPr>
                <w:rFonts w:hint="eastAsia" w:ascii="宋体" w:hAnsi="宋体" w:eastAsia="宋体" w:cs="宋体"/>
                <w:kern w:val="0"/>
                <w:szCs w:val="21"/>
              </w:rPr>
            </w:pPr>
          </w:p>
        </w:tc>
        <w:tc>
          <w:tcPr>
            <w:tcW w:w="624" w:type="pct"/>
            <w:vMerge w:val="continue"/>
            <w:tcBorders>
              <w:left w:val="single" w:color="auto" w:sz="4" w:space="0"/>
              <w:right w:val="single" w:color="auto" w:sz="4" w:space="0"/>
            </w:tcBorders>
            <w:vAlign w:val="center"/>
          </w:tcPr>
          <w:p>
            <w:pPr>
              <w:autoSpaceDE w:val="0"/>
              <w:autoSpaceDN w:val="0"/>
              <w:adjustRightInd w:val="0"/>
              <w:spacing w:before="50" w:line="276" w:lineRule="auto"/>
              <w:ind w:left="59" w:leftChars="28" w:right="97" w:firstLine="4" w:firstLineChars="2"/>
              <w:rPr>
                <w:rFonts w:hint="eastAsia" w:ascii="宋体" w:hAnsi="宋体"/>
                <w:szCs w:val="21"/>
              </w:rPr>
            </w:pPr>
          </w:p>
        </w:tc>
        <w:tc>
          <w:tcPr>
            <w:tcW w:w="924" w:type="pct"/>
            <w:tcBorders>
              <w:top w:val="single" w:color="000000" w:sz="4" w:space="0"/>
              <w:left w:val="single" w:color="auto" w:sz="4" w:space="0"/>
              <w:bottom w:val="single" w:color="000000" w:sz="4" w:space="0"/>
              <w:right w:val="single" w:color="000000" w:sz="4" w:space="0"/>
            </w:tcBorders>
            <w:vAlign w:val="center"/>
          </w:tcPr>
          <w:p>
            <w:pPr>
              <w:spacing w:line="240" w:lineRule="auto"/>
              <w:jc w:val="center"/>
              <w:rPr>
                <w:rFonts w:ascii="宋体" w:hAnsi="宋体" w:eastAsia="宋体" w:cs="宋体"/>
                <w:kern w:val="0"/>
                <w:szCs w:val="21"/>
              </w:rPr>
            </w:pPr>
            <w:r>
              <w:rPr>
                <w:rFonts w:hint="eastAsia" w:ascii="宋体" w:hAnsi="宋体"/>
                <w:szCs w:val="21"/>
              </w:rPr>
              <w:t>1</w:t>
            </w:r>
          </w:p>
        </w:tc>
        <w:tc>
          <w:tcPr>
            <w:tcW w:w="877" w:type="pct"/>
            <w:gridSpan w:val="2"/>
            <w:tcBorders>
              <w:top w:val="single" w:color="000000" w:sz="4" w:space="0"/>
              <w:left w:val="single" w:color="000000" w:sz="4" w:space="0"/>
              <w:bottom w:val="single" w:color="000000" w:sz="4" w:space="0"/>
              <w:right w:val="single" w:color="000000" w:sz="4" w:space="0"/>
            </w:tcBorders>
            <w:vAlign w:val="center"/>
          </w:tcPr>
          <w:p>
            <w:pPr>
              <w:spacing w:line="240" w:lineRule="auto"/>
              <w:rPr>
                <w:rFonts w:hAnsi="宋体"/>
                <w:color w:val="auto"/>
                <w:sz w:val="21"/>
                <w:szCs w:val="21"/>
              </w:rPr>
            </w:pPr>
            <w:r>
              <w:rPr>
                <w:rFonts w:hint="eastAsia" w:ascii="宋体" w:hAnsi="宋体"/>
                <w:szCs w:val="21"/>
              </w:rPr>
              <w:t>施工组织设计方案说明</w:t>
            </w:r>
          </w:p>
        </w:tc>
        <w:tc>
          <w:tcPr>
            <w:tcW w:w="1463" w:type="pct"/>
            <w:gridSpan w:val="3"/>
            <w:tcBorders>
              <w:top w:val="single" w:color="000000" w:sz="4" w:space="0"/>
              <w:left w:val="single" w:color="000000" w:sz="4" w:space="0"/>
              <w:bottom w:val="single" w:color="000000" w:sz="4" w:space="0"/>
              <w:right w:val="single" w:color="000000" w:sz="4" w:space="0"/>
            </w:tcBorders>
            <w:vAlign w:val="center"/>
          </w:tcPr>
          <w:p>
            <w:pPr>
              <w:spacing w:line="240" w:lineRule="auto"/>
              <w:jc w:val="left"/>
              <w:rPr>
                <w:rFonts w:hAnsi="宋体"/>
                <w:color w:val="auto"/>
                <w:sz w:val="21"/>
                <w:szCs w:val="21"/>
              </w:rPr>
            </w:pPr>
            <w:r>
              <w:rPr>
                <w:rFonts w:hint="eastAsia" w:ascii="宋体" w:hAnsi="宋体"/>
                <w:szCs w:val="21"/>
              </w:rPr>
              <w:t>施工组织设计方案说明，合理、可行的得1-</w:t>
            </w:r>
            <w:r>
              <w:rPr>
                <w:rFonts w:hint="eastAsia" w:ascii="宋体" w:hAnsi="宋体"/>
                <w:szCs w:val="21"/>
                <w:lang w:val="en-US" w:eastAsia="zh-CN"/>
              </w:rPr>
              <w:t>3</w:t>
            </w:r>
            <w:r>
              <w:rPr>
                <w:rFonts w:hint="eastAsia" w:ascii="宋体" w:hAnsi="宋体"/>
                <w:szCs w:val="21"/>
              </w:rPr>
              <w:t>分； 若无则不得分。</w:t>
            </w:r>
          </w:p>
        </w:tc>
        <w:tc>
          <w:tcPr>
            <w:tcW w:w="679" w:type="pct"/>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Ansi="宋体"/>
                <w:color w:val="auto"/>
                <w:sz w:val="21"/>
                <w:szCs w:val="21"/>
              </w:rPr>
            </w:pPr>
            <w:r>
              <w:rPr>
                <w:rFonts w:hint="eastAsia" w:ascii="宋体" w:hAnsi="宋体"/>
                <w:szCs w:val="21"/>
                <w:lang w:val="en-US" w:eastAsia="zh-CN"/>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71" w:hRule="atLeast"/>
        </w:trPr>
        <w:tc>
          <w:tcPr>
            <w:tcW w:w="429" w:type="pct"/>
            <w:vMerge w:val="continue"/>
            <w:tcBorders>
              <w:left w:val="single" w:color="auto" w:sz="4" w:space="0"/>
              <w:right w:val="single" w:color="auto" w:sz="4" w:space="0"/>
            </w:tcBorders>
            <w:vAlign w:val="center"/>
          </w:tcPr>
          <w:p>
            <w:pPr>
              <w:autoSpaceDE w:val="0"/>
              <w:autoSpaceDN w:val="0"/>
              <w:adjustRightInd w:val="0"/>
              <w:spacing w:before="50" w:line="276" w:lineRule="auto"/>
              <w:ind w:left="59" w:leftChars="28" w:right="96" w:firstLine="4" w:firstLineChars="2"/>
              <w:jc w:val="center"/>
              <w:rPr>
                <w:rFonts w:hint="eastAsia" w:ascii="宋体" w:hAnsi="宋体" w:eastAsia="宋体" w:cs="宋体"/>
                <w:kern w:val="0"/>
                <w:szCs w:val="21"/>
              </w:rPr>
            </w:pPr>
          </w:p>
        </w:tc>
        <w:tc>
          <w:tcPr>
            <w:tcW w:w="624" w:type="pct"/>
            <w:vMerge w:val="continue"/>
            <w:tcBorders>
              <w:left w:val="single" w:color="auto" w:sz="4" w:space="0"/>
              <w:right w:val="single" w:color="auto" w:sz="4" w:space="0"/>
            </w:tcBorders>
            <w:vAlign w:val="center"/>
          </w:tcPr>
          <w:p>
            <w:pPr>
              <w:autoSpaceDE w:val="0"/>
              <w:autoSpaceDN w:val="0"/>
              <w:adjustRightInd w:val="0"/>
              <w:spacing w:before="50" w:line="276" w:lineRule="auto"/>
              <w:ind w:left="59" w:leftChars="28" w:right="97" w:firstLine="4" w:firstLineChars="2"/>
              <w:rPr>
                <w:rFonts w:hint="eastAsia" w:ascii="宋体" w:hAnsi="宋体"/>
                <w:szCs w:val="21"/>
              </w:rPr>
            </w:pPr>
          </w:p>
        </w:tc>
        <w:tc>
          <w:tcPr>
            <w:tcW w:w="924" w:type="pct"/>
            <w:tcBorders>
              <w:top w:val="single" w:color="000000" w:sz="4" w:space="0"/>
              <w:left w:val="single" w:color="auto" w:sz="4" w:space="0"/>
              <w:bottom w:val="single" w:color="000000" w:sz="4" w:space="0"/>
              <w:right w:val="single" w:color="000000" w:sz="4" w:space="0"/>
            </w:tcBorders>
            <w:vAlign w:val="center"/>
          </w:tcPr>
          <w:p>
            <w:pPr>
              <w:spacing w:line="240" w:lineRule="auto"/>
              <w:jc w:val="center"/>
              <w:rPr>
                <w:rFonts w:ascii="宋体" w:hAnsi="宋体" w:eastAsia="宋体" w:cs="宋体"/>
                <w:kern w:val="0"/>
                <w:szCs w:val="21"/>
              </w:rPr>
            </w:pPr>
            <w:r>
              <w:rPr>
                <w:rFonts w:hint="eastAsia" w:ascii="宋体" w:hAnsi="宋体"/>
                <w:szCs w:val="21"/>
              </w:rPr>
              <w:t>2</w:t>
            </w:r>
          </w:p>
        </w:tc>
        <w:tc>
          <w:tcPr>
            <w:tcW w:w="877" w:type="pct"/>
            <w:gridSpan w:val="2"/>
            <w:tcBorders>
              <w:top w:val="single" w:color="000000" w:sz="4" w:space="0"/>
              <w:left w:val="single" w:color="000000" w:sz="4" w:space="0"/>
              <w:bottom w:val="single" w:color="000000" w:sz="4" w:space="0"/>
              <w:right w:val="single" w:color="000000" w:sz="4" w:space="0"/>
            </w:tcBorders>
            <w:vAlign w:val="center"/>
          </w:tcPr>
          <w:p>
            <w:pPr>
              <w:spacing w:line="240" w:lineRule="auto"/>
              <w:rPr>
                <w:rFonts w:hAnsi="宋体"/>
                <w:color w:val="auto"/>
                <w:sz w:val="21"/>
                <w:szCs w:val="21"/>
              </w:rPr>
            </w:pPr>
            <w:r>
              <w:rPr>
                <w:rFonts w:hint="eastAsia" w:ascii="宋体" w:hAnsi="宋体"/>
                <w:szCs w:val="21"/>
              </w:rPr>
              <w:t>工程进度计划与措施</w:t>
            </w:r>
          </w:p>
        </w:tc>
        <w:tc>
          <w:tcPr>
            <w:tcW w:w="1463" w:type="pct"/>
            <w:gridSpan w:val="3"/>
            <w:tcBorders>
              <w:top w:val="single" w:color="000000" w:sz="4" w:space="0"/>
              <w:left w:val="single" w:color="000000" w:sz="4" w:space="0"/>
              <w:bottom w:val="single" w:color="000000" w:sz="4" w:space="0"/>
              <w:right w:val="single" w:color="000000" w:sz="4" w:space="0"/>
            </w:tcBorders>
            <w:vAlign w:val="center"/>
          </w:tcPr>
          <w:p>
            <w:pPr>
              <w:spacing w:line="240" w:lineRule="auto"/>
              <w:rPr>
                <w:rFonts w:hAnsi="宋体"/>
                <w:color w:val="auto"/>
                <w:sz w:val="21"/>
                <w:szCs w:val="21"/>
              </w:rPr>
            </w:pPr>
            <w:r>
              <w:rPr>
                <w:rFonts w:hint="eastAsia" w:ascii="宋体" w:hAnsi="宋体"/>
                <w:szCs w:val="21"/>
              </w:rPr>
              <w:t>工程进度计划与措施合理、可行的得</w:t>
            </w:r>
            <w:r>
              <w:rPr>
                <w:rFonts w:hint="eastAsia" w:ascii="宋体" w:hAnsi="宋体"/>
                <w:szCs w:val="21"/>
                <w:lang w:eastAsia="zh-CN"/>
              </w:rPr>
              <w:t>1-</w:t>
            </w:r>
            <w:r>
              <w:rPr>
                <w:rFonts w:hint="eastAsia" w:ascii="宋体" w:hAnsi="宋体"/>
                <w:szCs w:val="21"/>
                <w:lang w:val="en-US" w:eastAsia="zh-CN"/>
              </w:rPr>
              <w:t>3</w:t>
            </w:r>
            <w:r>
              <w:rPr>
                <w:rFonts w:hint="eastAsia" w:ascii="宋体" w:hAnsi="宋体"/>
                <w:szCs w:val="21"/>
                <w:lang w:eastAsia="zh-CN"/>
              </w:rPr>
              <w:t>分</w:t>
            </w:r>
            <w:r>
              <w:rPr>
                <w:rFonts w:hint="eastAsia" w:ascii="宋体" w:hAnsi="宋体"/>
                <w:szCs w:val="21"/>
              </w:rPr>
              <w:t>；</w:t>
            </w:r>
            <w:r>
              <w:rPr>
                <w:rFonts w:hint="eastAsia" w:ascii="宋体" w:hAnsi="宋体"/>
                <w:szCs w:val="21"/>
                <w:lang w:val="en-US" w:eastAsia="zh-CN"/>
              </w:rPr>
              <w:t xml:space="preserve"> </w:t>
            </w:r>
            <w:r>
              <w:rPr>
                <w:rFonts w:hint="eastAsia" w:ascii="宋体" w:hAnsi="宋体"/>
                <w:szCs w:val="21"/>
              </w:rPr>
              <w:t>若无则不得分。</w:t>
            </w:r>
          </w:p>
        </w:tc>
        <w:tc>
          <w:tcPr>
            <w:tcW w:w="679" w:type="pct"/>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Ansi="宋体"/>
                <w:color w:val="auto"/>
                <w:sz w:val="21"/>
                <w:szCs w:val="21"/>
              </w:rPr>
            </w:pPr>
            <w:r>
              <w:rPr>
                <w:rFonts w:hint="eastAsia" w:ascii="宋体" w:hAnsi="宋体"/>
                <w:szCs w:val="21"/>
                <w:lang w:val="en-US" w:eastAsia="zh-CN"/>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71" w:hRule="atLeast"/>
        </w:trPr>
        <w:tc>
          <w:tcPr>
            <w:tcW w:w="429" w:type="pct"/>
            <w:vMerge w:val="continue"/>
            <w:tcBorders>
              <w:left w:val="single" w:color="auto" w:sz="4" w:space="0"/>
              <w:right w:val="single" w:color="auto" w:sz="4" w:space="0"/>
            </w:tcBorders>
            <w:vAlign w:val="center"/>
          </w:tcPr>
          <w:p>
            <w:pPr>
              <w:autoSpaceDE w:val="0"/>
              <w:autoSpaceDN w:val="0"/>
              <w:adjustRightInd w:val="0"/>
              <w:spacing w:before="50" w:line="276" w:lineRule="auto"/>
              <w:ind w:left="59" w:leftChars="28" w:right="96" w:firstLine="4" w:firstLineChars="2"/>
              <w:jc w:val="center"/>
              <w:rPr>
                <w:rFonts w:ascii="宋体" w:hAnsi="宋体" w:eastAsia="宋体" w:cs="宋体"/>
                <w:kern w:val="0"/>
                <w:szCs w:val="21"/>
              </w:rPr>
            </w:pPr>
          </w:p>
        </w:tc>
        <w:tc>
          <w:tcPr>
            <w:tcW w:w="624" w:type="pct"/>
            <w:vMerge w:val="continue"/>
            <w:tcBorders>
              <w:left w:val="single" w:color="auto" w:sz="4" w:space="0"/>
              <w:right w:val="single" w:color="auto" w:sz="4" w:space="0"/>
            </w:tcBorders>
            <w:vAlign w:val="center"/>
          </w:tcPr>
          <w:p>
            <w:pPr>
              <w:autoSpaceDE w:val="0"/>
              <w:autoSpaceDN w:val="0"/>
              <w:adjustRightInd w:val="0"/>
              <w:spacing w:before="50" w:line="276" w:lineRule="auto"/>
              <w:ind w:left="59" w:leftChars="28" w:right="97" w:firstLine="4" w:firstLineChars="2"/>
              <w:rPr>
                <w:rFonts w:ascii="宋体" w:hAnsi="宋体" w:eastAsia="宋体" w:cs="宋体"/>
                <w:kern w:val="0"/>
                <w:szCs w:val="21"/>
              </w:rPr>
            </w:pPr>
          </w:p>
        </w:tc>
        <w:tc>
          <w:tcPr>
            <w:tcW w:w="924" w:type="pct"/>
            <w:tcBorders>
              <w:top w:val="single" w:color="000000" w:sz="4" w:space="0"/>
              <w:left w:val="single" w:color="auto" w:sz="4" w:space="0"/>
              <w:bottom w:val="single" w:color="000000" w:sz="4" w:space="0"/>
              <w:right w:val="single" w:color="000000" w:sz="4" w:space="0"/>
            </w:tcBorders>
            <w:vAlign w:val="center"/>
          </w:tcPr>
          <w:p>
            <w:pPr>
              <w:spacing w:line="240" w:lineRule="auto"/>
              <w:jc w:val="center"/>
              <w:rPr>
                <w:rFonts w:ascii="宋体" w:hAnsi="宋体" w:eastAsia="宋体" w:cs="宋体"/>
                <w:kern w:val="0"/>
                <w:szCs w:val="21"/>
              </w:rPr>
            </w:pPr>
            <w:r>
              <w:rPr>
                <w:rFonts w:hint="eastAsia" w:ascii="宋体" w:hAnsi="宋体"/>
                <w:szCs w:val="21"/>
              </w:rPr>
              <w:t>3</w:t>
            </w:r>
          </w:p>
        </w:tc>
        <w:tc>
          <w:tcPr>
            <w:tcW w:w="877" w:type="pct"/>
            <w:gridSpan w:val="2"/>
            <w:tcBorders>
              <w:top w:val="single" w:color="000000" w:sz="4" w:space="0"/>
              <w:left w:val="single" w:color="000000" w:sz="4" w:space="0"/>
              <w:bottom w:val="single" w:color="000000" w:sz="4" w:space="0"/>
              <w:right w:val="single" w:color="000000" w:sz="4" w:space="0"/>
            </w:tcBorders>
            <w:vAlign w:val="center"/>
          </w:tcPr>
          <w:p>
            <w:pPr>
              <w:spacing w:line="240" w:lineRule="auto"/>
              <w:rPr>
                <w:rFonts w:hint="eastAsia" w:ascii="宋体" w:hAnsi="宋体"/>
                <w:szCs w:val="21"/>
              </w:rPr>
            </w:pPr>
            <w:r>
              <w:rPr>
                <w:rFonts w:hint="eastAsia" w:ascii="宋体" w:hAnsi="宋体"/>
                <w:szCs w:val="21"/>
              </w:rPr>
              <w:t>施工人员组</w:t>
            </w:r>
          </w:p>
          <w:p>
            <w:pPr>
              <w:spacing w:line="240" w:lineRule="auto"/>
              <w:rPr>
                <w:rFonts w:hAnsi="宋体"/>
                <w:color w:val="auto"/>
                <w:sz w:val="21"/>
                <w:szCs w:val="21"/>
              </w:rPr>
            </w:pPr>
            <w:r>
              <w:rPr>
                <w:rFonts w:hint="eastAsia" w:ascii="宋体" w:hAnsi="宋体"/>
                <w:szCs w:val="21"/>
              </w:rPr>
              <w:t>织方案</w:t>
            </w:r>
          </w:p>
        </w:tc>
        <w:tc>
          <w:tcPr>
            <w:tcW w:w="1463" w:type="pct"/>
            <w:gridSpan w:val="3"/>
            <w:tcBorders>
              <w:top w:val="single" w:color="000000" w:sz="4" w:space="0"/>
              <w:left w:val="single" w:color="000000" w:sz="4" w:space="0"/>
              <w:bottom w:val="single" w:color="000000" w:sz="4" w:space="0"/>
              <w:right w:val="single" w:color="000000" w:sz="4" w:space="0"/>
            </w:tcBorders>
            <w:vAlign w:val="center"/>
          </w:tcPr>
          <w:p>
            <w:pPr>
              <w:spacing w:line="240" w:lineRule="auto"/>
              <w:rPr>
                <w:rFonts w:hAnsi="宋体"/>
                <w:color w:val="auto"/>
                <w:sz w:val="21"/>
                <w:szCs w:val="21"/>
              </w:rPr>
            </w:pPr>
            <w:r>
              <w:rPr>
                <w:rFonts w:hint="eastAsia" w:ascii="宋体" w:hAnsi="宋体"/>
                <w:szCs w:val="21"/>
              </w:rPr>
              <w:t>施工人员组织方案合理、可行的得</w:t>
            </w:r>
            <w:r>
              <w:rPr>
                <w:rFonts w:hint="eastAsia" w:ascii="宋体" w:hAnsi="宋体"/>
                <w:szCs w:val="21"/>
                <w:lang w:eastAsia="zh-CN"/>
              </w:rPr>
              <w:t>1-</w:t>
            </w:r>
            <w:r>
              <w:rPr>
                <w:rFonts w:hint="eastAsia" w:ascii="宋体" w:hAnsi="宋体"/>
                <w:szCs w:val="21"/>
                <w:lang w:val="en-US" w:eastAsia="zh-CN"/>
              </w:rPr>
              <w:t>3</w:t>
            </w:r>
            <w:r>
              <w:rPr>
                <w:rFonts w:hint="eastAsia" w:ascii="宋体" w:hAnsi="宋体"/>
                <w:szCs w:val="21"/>
                <w:lang w:eastAsia="zh-CN"/>
              </w:rPr>
              <w:t>分</w:t>
            </w:r>
            <w:r>
              <w:rPr>
                <w:rFonts w:hint="eastAsia" w:ascii="宋体" w:hAnsi="宋体"/>
                <w:szCs w:val="21"/>
              </w:rPr>
              <w:t>；</w:t>
            </w:r>
            <w:r>
              <w:rPr>
                <w:rFonts w:hint="eastAsia" w:ascii="宋体" w:hAnsi="宋体"/>
                <w:szCs w:val="21"/>
                <w:lang w:val="en-US" w:eastAsia="zh-CN"/>
              </w:rPr>
              <w:t xml:space="preserve"> </w:t>
            </w:r>
            <w:r>
              <w:rPr>
                <w:rFonts w:hint="eastAsia" w:ascii="宋体" w:hAnsi="宋体"/>
                <w:szCs w:val="21"/>
              </w:rPr>
              <w:t>若无则不得分。</w:t>
            </w:r>
          </w:p>
        </w:tc>
        <w:tc>
          <w:tcPr>
            <w:tcW w:w="679" w:type="pct"/>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Ansi="宋体"/>
                <w:color w:val="auto"/>
                <w:sz w:val="21"/>
                <w:szCs w:val="21"/>
              </w:rPr>
            </w:pPr>
            <w:r>
              <w:rPr>
                <w:rFonts w:hint="eastAsia" w:ascii="宋体" w:hAnsi="宋体"/>
                <w:szCs w:val="21"/>
                <w:lang w:val="en-US" w:eastAsia="zh-CN"/>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71" w:hRule="atLeast"/>
        </w:trPr>
        <w:tc>
          <w:tcPr>
            <w:tcW w:w="429" w:type="pct"/>
            <w:vMerge w:val="continue"/>
            <w:tcBorders>
              <w:left w:val="single" w:color="auto" w:sz="4" w:space="0"/>
              <w:right w:val="single" w:color="auto" w:sz="4" w:space="0"/>
            </w:tcBorders>
            <w:vAlign w:val="center"/>
          </w:tcPr>
          <w:p>
            <w:pPr>
              <w:autoSpaceDE w:val="0"/>
              <w:autoSpaceDN w:val="0"/>
              <w:adjustRightInd w:val="0"/>
              <w:spacing w:before="50" w:line="276" w:lineRule="auto"/>
              <w:ind w:left="59" w:leftChars="28" w:right="96" w:firstLine="4" w:firstLineChars="2"/>
              <w:jc w:val="center"/>
              <w:rPr>
                <w:rFonts w:ascii="宋体" w:hAnsi="宋体" w:eastAsia="宋体" w:cs="宋体"/>
                <w:kern w:val="0"/>
                <w:szCs w:val="21"/>
              </w:rPr>
            </w:pPr>
          </w:p>
        </w:tc>
        <w:tc>
          <w:tcPr>
            <w:tcW w:w="624" w:type="pct"/>
            <w:vMerge w:val="continue"/>
            <w:tcBorders>
              <w:left w:val="single" w:color="auto" w:sz="4" w:space="0"/>
              <w:right w:val="single" w:color="auto" w:sz="4" w:space="0"/>
            </w:tcBorders>
            <w:vAlign w:val="center"/>
          </w:tcPr>
          <w:p>
            <w:pPr>
              <w:autoSpaceDE w:val="0"/>
              <w:autoSpaceDN w:val="0"/>
              <w:adjustRightInd w:val="0"/>
              <w:spacing w:before="50" w:line="276" w:lineRule="auto"/>
              <w:ind w:left="59" w:leftChars="28" w:right="97" w:firstLine="4" w:firstLineChars="2"/>
              <w:rPr>
                <w:rFonts w:ascii="宋体" w:hAnsi="宋体" w:eastAsia="宋体" w:cs="宋体"/>
                <w:kern w:val="0"/>
                <w:szCs w:val="21"/>
              </w:rPr>
            </w:pPr>
          </w:p>
        </w:tc>
        <w:tc>
          <w:tcPr>
            <w:tcW w:w="924" w:type="pct"/>
            <w:tcBorders>
              <w:top w:val="single" w:color="000000" w:sz="4" w:space="0"/>
              <w:left w:val="single" w:color="auto" w:sz="4" w:space="0"/>
              <w:bottom w:val="single" w:color="000000" w:sz="4" w:space="0"/>
              <w:right w:val="single" w:color="000000" w:sz="4" w:space="0"/>
            </w:tcBorders>
            <w:vAlign w:val="center"/>
          </w:tcPr>
          <w:p>
            <w:pPr>
              <w:spacing w:line="240" w:lineRule="auto"/>
              <w:jc w:val="center"/>
              <w:rPr>
                <w:rFonts w:ascii="宋体" w:hAnsi="宋体" w:eastAsia="宋体" w:cs="宋体"/>
                <w:kern w:val="0"/>
                <w:szCs w:val="21"/>
              </w:rPr>
            </w:pPr>
            <w:r>
              <w:rPr>
                <w:rFonts w:hint="eastAsia" w:ascii="宋体" w:hAnsi="宋体"/>
                <w:szCs w:val="21"/>
              </w:rPr>
              <w:t>4</w:t>
            </w:r>
          </w:p>
        </w:tc>
        <w:tc>
          <w:tcPr>
            <w:tcW w:w="877" w:type="pct"/>
            <w:gridSpan w:val="2"/>
            <w:tcBorders>
              <w:top w:val="single" w:color="000000" w:sz="4" w:space="0"/>
              <w:left w:val="single" w:color="000000" w:sz="4" w:space="0"/>
              <w:bottom w:val="single" w:color="000000" w:sz="4" w:space="0"/>
              <w:right w:val="single" w:color="000000" w:sz="4" w:space="0"/>
            </w:tcBorders>
            <w:vAlign w:val="center"/>
          </w:tcPr>
          <w:p>
            <w:pPr>
              <w:spacing w:line="240" w:lineRule="auto"/>
              <w:rPr>
                <w:rFonts w:hAnsi="宋体"/>
                <w:color w:val="auto"/>
                <w:sz w:val="21"/>
                <w:szCs w:val="21"/>
              </w:rPr>
            </w:pPr>
            <w:r>
              <w:rPr>
                <w:rFonts w:hint="eastAsia" w:ascii="宋体" w:hAnsi="宋体"/>
                <w:szCs w:val="21"/>
              </w:rPr>
              <w:t>物资资源配备方案</w:t>
            </w:r>
          </w:p>
        </w:tc>
        <w:tc>
          <w:tcPr>
            <w:tcW w:w="1463" w:type="pct"/>
            <w:gridSpan w:val="3"/>
            <w:tcBorders>
              <w:top w:val="single" w:color="000000" w:sz="4" w:space="0"/>
              <w:left w:val="single" w:color="000000" w:sz="4" w:space="0"/>
              <w:bottom w:val="single" w:color="000000" w:sz="4" w:space="0"/>
              <w:right w:val="single" w:color="000000" w:sz="4" w:space="0"/>
            </w:tcBorders>
            <w:vAlign w:val="center"/>
          </w:tcPr>
          <w:p>
            <w:pPr>
              <w:spacing w:line="240" w:lineRule="auto"/>
              <w:rPr>
                <w:rFonts w:hAnsi="宋体"/>
                <w:color w:val="auto"/>
                <w:sz w:val="21"/>
                <w:szCs w:val="21"/>
              </w:rPr>
            </w:pPr>
            <w:r>
              <w:rPr>
                <w:rFonts w:hint="eastAsia" w:ascii="宋体" w:hAnsi="宋体"/>
                <w:szCs w:val="21"/>
              </w:rPr>
              <w:t>物资资源配备方案，合理、可行的得</w:t>
            </w:r>
            <w:r>
              <w:rPr>
                <w:rFonts w:hint="eastAsia" w:ascii="宋体" w:hAnsi="宋体"/>
                <w:szCs w:val="21"/>
                <w:lang w:eastAsia="zh-CN"/>
              </w:rPr>
              <w:t>1-</w:t>
            </w:r>
            <w:r>
              <w:rPr>
                <w:rFonts w:hint="eastAsia" w:ascii="宋体" w:hAnsi="宋体"/>
                <w:szCs w:val="21"/>
                <w:lang w:val="en-US" w:eastAsia="zh-CN"/>
              </w:rPr>
              <w:t>3</w:t>
            </w:r>
            <w:r>
              <w:rPr>
                <w:rFonts w:hint="eastAsia" w:ascii="宋体" w:hAnsi="宋体"/>
                <w:szCs w:val="21"/>
                <w:lang w:eastAsia="zh-CN"/>
              </w:rPr>
              <w:t>分</w:t>
            </w:r>
            <w:r>
              <w:rPr>
                <w:rFonts w:hint="eastAsia" w:ascii="宋体" w:hAnsi="宋体"/>
                <w:szCs w:val="21"/>
              </w:rPr>
              <w:t>；</w:t>
            </w:r>
            <w:r>
              <w:rPr>
                <w:rFonts w:hint="eastAsia" w:ascii="宋体" w:hAnsi="宋体"/>
                <w:szCs w:val="21"/>
                <w:lang w:val="en-US" w:eastAsia="zh-CN"/>
              </w:rPr>
              <w:t xml:space="preserve"> </w:t>
            </w:r>
            <w:r>
              <w:rPr>
                <w:rFonts w:hint="eastAsia" w:ascii="宋体" w:hAnsi="宋体"/>
                <w:szCs w:val="21"/>
              </w:rPr>
              <w:t>若无则不得分</w:t>
            </w:r>
            <w:r>
              <w:rPr>
                <w:rFonts w:hint="eastAsia" w:ascii="宋体" w:hAnsi="宋体"/>
                <w:szCs w:val="21"/>
                <w:lang w:eastAsia="zh-CN"/>
              </w:rPr>
              <w:t>；</w:t>
            </w:r>
            <w:r>
              <w:rPr>
                <w:rFonts w:hint="eastAsia" w:ascii="宋体" w:hAnsi="宋体"/>
                <w:szCs w:val="21"/>
              </w:rPr>
              <w:t>若无则不得分。</w:t>
            </w:r>
          </w:p>
        </w:tc>
        <w:tc>
          <w:tcPr>
            <w:tcW w:w="679" w:type="pct"/>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Ansi="宋体"/>
                <w:color w:val="auto"/>
                <w:sz w:val="21"/>
                <w:szCs w:val="21"/>
              </w:rPr>
            </w:pPr>
            <w:r>
              <w:rPr>
                <w:rFonts w:hint="eastAsia" w:ascii="宋体" w:hAnsi="宋体"/>
                <w:szCs w:val="21"/>
                <w:lang w:val="en-US" w:eastAsia="zh-CN"/>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71" w:hRule="atLeast"/>
        </w:trPr>
        <w:tc>
          <w:tcPr>
            <w:tcW w:w="429" w:type="pct"/>
            <w:vMerge w:val="continue"/>
            <w:tcBorders>
              <w:left w:val="single" w:color="auto" w:sz="4" w:space="0"/>
              <w:right w:val="single" w:color="auto" w:sz="4" w:space="0"/>
            </w:tcBorders>
            <w:vAlign w:val="center"/>
          </w:tcPr>
          <w:p>
            <w:pPr>
              <w:autoSpaceDE w:val="0"/>
              <w:autoSpaceDN w:val="0"/>
              <w:adjustRightInd w:val="0"/>
              <w:spacing w:before="50" w:line="276" w:lineRule="auto"/>
              <w:ind w:left="59" w:leftChars="28" w:right="96" w:firstLine="4" w:firstLineChars="2"/>
              <w:jc w:val="center"/>
              <w:rPr>
                <w:rFonts w:ascii="宋体" w:hAnsi="宋体" w:eastAsia="宋体" w:cs="宋体"/>
                <w:kern w:val="0"/>
                <w:szCs w:val="21"/>
              </w:rPr>
            </w:pPr>
          </w:p>
        </w:tc>
        <w:tc>
          <w:tcPr>
            <w:tcW w:w="624" w:type="pct"/>
            <w:vMerge w:val="continue"/>
            <w:tcBorders>
              <w:left w:val="single" w:color="auto" w:sz="4" w:space="0"/>
              <w:right w:val="single" w:color="auto" w:sz="4" w:space="0"/>
            </w:tcBorders>
            <w:vAlign w:val="center"/>
          </w:tcPr>
          <w:p>
            <w:pPr>
              <w:autoSpaceDE w:val="0"/>
              <w:autoSpaceDN w:val="0"/>
              <w:adjustRightInd w:val="0"/>
              <w:spacing w:before="50" w:line="276" w:lineRule="auto"/>
              <w:ind w:left="59" w:leftChars="28" w:right="97" w:firstLine="4" w:firstLineChars="2"/>
              <w:rPr>
                <w:rFonts w:ascii="宋体" w:hAnsi="宋体" w:eastAsia="宋体" w:cs="宋体"/>
                <w:kern w:val="0"/>
                <w:szCs w:val="21"/>
              </w:rPr>
            </w:pPr>
          </w:p>
        </w:tc>
        <w:tc>
          <w:tcPr>
            <w:tcW w:w="924" w:type="pct"/>
            <w:tcBorders>
              <w:top w:val="single" w:color="000000" w:sz="4" w:space="0"/>
              <w:left w:val="single" w:color="auto" w:sz="4" w:space="0"/>
              <w:bottom w:val="single" w:color="000000" w:sz="4" w:space="0"/>
              <w:right w:val="single" w:color="000000" w:sz="4" w:space="0"/>
            </w:tcBorders>
            <w:vAlign w:val="center"/>
          </w:tcPr>
          <w:p>
            <w:pPr>
              <w:spacing w:line="240" w:lineRule="auto"/>
              <w:jc w:val="center"/>
              <w:rPr>
                <w:rFonts w:ascii="宋体" w:hAnsi="宋体" w:eastAsia="宋体" w:cs="宋体"/>
                <w:kern w:val="0"/>
                <w:szCs w:val="21"/>
              </w:rPr>
            </w:pPr>
            <w:r>
              <w:rPr>
                <w:rFonts w:hint="eastAsia" w:ascii="宋体" w:hAnsi="宋体"/>
                <w:szCs w:val="21"/>
              </w:rPr>
              <w:t>5</w:t>
            </w:r>
          </w:p>
        </w:tc>
        <w:tc>
          <w:tcPr>
            <w:tcW w:w="877" w:type="pct"/>
            <w:gridSpan w:val="2"/>
            <w:tcBorders>
              <w:top w:val="single" w:color="000000" w:sz="4" w:space="0"/>
              <w:left w:val="single" w:color="000000" w:sz="4" w:space="0"/>
              <w:bottom w:val="single" w:color="000000" w:sz="4" w:space="0"/>
              <w:right w:val="single" w:color="000000" w:sz="4" w:space="0"/>
            </w:tcBorders>
            <w:vAlign w:val="center"/>
          </w:tcPr>
          <w:p>
            <w:pPr>
              <w:spacing w:line="240" w:lineRule="auto"/>
              <w:rPr>
                <w:rFonts w:hAnsi="宋体"/>
                <w:color w:val="auto"/>
                <w:sz w:val="21"/>
                <w:szCs w:val="21"/>
              </w:rPr>
            </w:pPr>
            <w:r>
              <w:rPr>
                <w:rFonts w:hint="eastAsia" w:ascii="宋体" w:hAnsi="宋体"/>
                <w:szCs w:val="21"/>
              </w:rPr>
              <w:t>确保施工质量的管理措施</w:t>
            </w:r>
          </w:p>
        </w:tc>
        <w:tc>
          <w:tcPr>
            <w:tcW w:w="1463" w:type="pct"/>
            <w:gridSpan w:val="3"/>
            <w:tcBorders>
              <w:top w:val="single" w:color="000000" w:sz="4" w:space="0"/>
              <w:left w:val="single" w:color="000000" w:sz="4" w:space="0"/>
              <w:bottom w:val="single" w:color="000000" w:sz="4" w:space="0"/>
              <w:right w:val="single" w:color="000000" w:sz="4" w:space="0"/>
            </w:tcBorders>
            <w:vAlign w:val="center"/>
          </w:tcPr>
          <w:p>
            <w:pPr>
              <w:spacing w:line="240" w:lineRule="auto"/>
              <w:rPr>
                <w:rFonts w:hAnsi="宋体"/>
                <w:color w:val="auto"/>
                <w:sz w:val="21"/>
                <w:szCs w:val="21"/>
              </w:rPr>
            </w:pPr>
            <w:r>
              <w:rPr>
                <w:rFonts w:hint="eastAsia" w:ascii="宋体" w:hAnsi="宋体"/>
                <w:szCs w:val="21"/>
              </w:rPr>
              <w:t>确保施工质量的管理措施合理、可行的得</w:t>
            </w:r>
            <w:r>
              <w:rPr>
                <w:rFonts w:hint="eastAsia" w:ascii="宋体" w:hAnsi="宋体"/>
                <w:szCs w:val="21"/>
                <w:lang w:eastAsia="zh-CN"/>
              </w:rPr>
              <w:t>1-</w:t>
            </w:r>
            <w:r>
              <w:rPr>
                <w:rFonts w:hint="eastAsia" w:ascii="宋体" w:hAnsi="宋体"/>
                <w:szCs w:val="21"/>
                <w:lang w:val="en-US" w:eastAsia="zh-CN"/>
              </w:rPr>
              <w:t>3</w:t>
            </w:r>
            <w:r>
              <w:rPr>
                <w:rFonts w:hint="eastAsia" w:ascii="宋体" w:hAnsi="宋体"/>
                <w:szCs w:val="21"/>
                <w:lang w:eastAsia="zh-CN"/>
              </w:rPr>
              <w:t>分</w:t>
            </w:r>
            <w:r>
              <w:rPr>
                <w:rFonts w:hint="eastAsia" w:ascii="宋体" w:hAnsi="宋体"/>
                <w:szCs w:val="21"/>
              </w:rPr>
              <w:t>；</w:t>
            </w:r>
            <w:r>
              <w:rPr>
                <w:rFonts w:hint="eastAsia" w:ascii="宋体" w:hAnsi="宋体"/>
                <w:szCs w:val="21"/>
                <w:lang w:val="en-US" w:eastAsia="zh-CN"/>
              </w:rPr>
              <w:t xml:space="preserve"> </w:t>
            </w:r>
            <w:r>
              <w:rPr>
                <w:rFonts w:hint="eastAsia" w:ascii="宋体" w:hAnsi="宋体"/>
                <w:szCs w:val="21"/>
              </w:rPr>
              <w:t>若无则不得分。</w:t>
            </w:r>
          </w:p>
        </w:tc>
        <w:tc>
          <w:tcPr>
            <w:tcW w:w="679" w:type="pct"/>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Ansi="宋体"/>
                <w:color w:val="auto"/>
                <w:sz w:val="21"/>
                <w:szCs w:val="21"/>
              </w:rPr>
            </w:pPr>
            <w:r>
              <w:rPr>
                <w:rFonts w:hint="eastAsia" w:ascii="宋体" w:hAnsi="宋体"/>
                <w:szCs w:val="21"/>
                <w:lang w:val="en-US" w:eastAsia="zh-CN"/>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71" w:hRule="atLeast"/>
        </w:trPr>
        <w:tc>
          <w:tcPr>
            <w:tcW w:w="429" w:type="pct"/>
            <w:vMerge w:val="continue"/>
            <w:tcBorders>
              <w:left w:val="single" w:color="auto" w:sz="4" w:space="0"/>
              <w:right w:val="single" w:color="auto" w:sz="4" w:space="0"/>
            </w:tcBorders>
            <w:vAlign w:val="center"/>
          </w:tcPr>
          <w:p>
            <w:pPr>
              <w:autoSpaceDE w:val="0"/>
              <w:autoSpaceDN w:val="0"/>
              <w:adjustRightInd w:val="0"/>
              <w:spacing w:before="50" w:line="276" w:lineRule="auto"/>
              <w:ind w:left="59" w:leftChars="28" w:right="96" w:firstLine="4" w:firstLineChars="2"/>
              <w:jc w:val="center"/>
              <w:rPr>
                <w:rFonts w:ascii="宋体" w:hAnsi="宋体" w:eastAsia="宋体" w:cs="宋体"/>
                <w:kern w:val="0"/>
                <w:szCs w:val="21"/>
              </w:rPr>
            </w:pPr>
          </w:p>
        </w:tc>
        <w:tc>
          <w:tcPr>
            <w:tcW w:w="624" w:type="pct"/>
            <w:vMerge w:val="continue"/>
            <w:tcBorders>
              <w:left w:val="single" w:color="auto" w:sz="4" w:space="0"/>
              <w:right w:val="single" w:color="auto" w:sz="4" w:space="0"/>
            </w:tcBorders>
            <w:vAlign w:val="center"/>
          </w:tcPr>
          <w:p>
            <w:pPr>
              <w:autoSpaceDE w:val="0"/>
              <w:autoSpaceDN w:val="0"/>
              <w:adjustRightInd w:val="0"/>
              <w:spacing w:before="50" w:line="276" w:lineRule="auto"/>
              <w:ind w:left="59" w:leftChars="28" w:right="97" w:firstLine="4" w:firstLineChars="2"/>
              <w:rPr>
                <w:rFonts w:ascii="宋体" w:hAnsi="宋体" w:eastAsia="宋体" w:cs="宋体"/>
                <w:kern w:val="0"/>
                <w:szCs w:val="21"/>
              </w:rPr>
            </w:pPr>
          </w:p>
        </w:tc>
        <w:tc>
          <w:tcPr>
            <w:tcW w:w="924" w:type="pct"/>
            <w:tcBorders>
              <w:top w:val="single" w:color="000000" w:sz="4" w:space="0"/>
              <w:left w:val="single" w:color="auto" w:sz="4" w:space="0"/>
              <w:bottom w:val="single" w:color="000000" w:sz="4" w:space="0"/>
              <w:right w:val="single" w:color="000000" w:sz="4" w:space="0"/>
            </w:tcBorders>
            <w:vAlign w:val="center"/>
          </w:tcPr>
          <w:p>
            <w:pPr>
              <w:spacing w:line="240" w:lineRule="auto"/>
              <w:jc w:val="center"/>
              <w:rPr>
                <w:rFonts w:ascii="宋体" w:hAnsi="宋体" w:eastAsia="宋体" w:cs="宋体"/>
                <w:kern w:val="0"/>
                <w:szCs w:val="21"/>
              </w:rPr>
            </w:pPr>
            <w:r>
              <w:rPr>
                <w:rFonts w:hint="eastAsia" w:ascii="宋体" w:hAnsi="宋体"/>
                <w:szCs w:val="21"/>
              </w:rPr>
              <w:t>6</w:t>
            </w:r>
          </w:p>
        </w:tc>
        <w:tc>
          <w:tcPr>
            <w:tcW w:w="877" w:type="pct"/>
            <w:gridSpan w:val="2"/>
            <w:tcBorders>
              <w:top w:val="single" w:color="000000" w:sz="4" w:space="0"/>
              <w:left w:val="single" w:color="000000" w:sz="4" w:space="0"/>
              <w:bottom w:val="single" w:color="000000" w:sz="4" w:space="0"/>
              <w:right w:val="single" w:color="000000" w:sz="4" w:space="0"/>
            </w:tcBorders>
            <w:vAlign w:val="center"/>
          </w:tcPr>
          <w:p>
            <w:pPr>
              <w:spacing w:line="240" w:lineRule="auto"/>
              <w:rPr>
                <w:rFonts w:hAnsi="宋体"/>
                <w:color w:val="auto"/>
                <w:sz w:val="21"/>
                <w:szCs w:val="21"/>
              </w:rPr>
            </w:pPr>
            <w:r>
              <w:rPr>
                <w:rFonts w:hint="eastAsia" w:ascii="宋体" w:hAnsi="宋体"/>
                <w:szCs w:val="21"/>
              </w:rPr>
              <w:t>确保安全生产的管理措施</w:t>
            </w:r>
          </w:p>
        </w:tc>
        <w:tc>
          <w:tcPr>
            <w:tcW w:w="1463" w:type="pct"/>
            <w:gridSpan w:val="3"/>
            <w:tcBorders>
              <w:top w:val="single" w:color="000000" w:sz="4" w:space="0"/>
              <w:left w:val="single" w:color="000000" w:sz="4" w:space="0"/>
              <w:bottom w:val="single" w:color="000000" w:sz="4" w:space="0"/>
              <w:right w:val="single" w:color="000000" w:sz="4" w:space="0"/>
            </w:tcBorders>
            <w:vAlign w:val="center"/>
          </w:tcPr>
          <w:p>
            <w:pPr>
              <w:spacing w:line="240" w:lineRule="auto"/>
              <w:rPr>
                <w:rFonts w:hAnsi="宋体"/>
                <w:color w:val="auto"/>
                <w:sz w:val="21"/>
                <w:szCs w:val="21"/>
              </w:rPr>
            </w:pPr>
            <w:r>
              <w:rPr>
                <w:rFonts w:hint="eastAsia" w:ascii="宋体" w:hAnsi="宋体"/>
                <w:szCs w:val="21"/>
              </w:rPr>
              <w:t>确保安全生产的管理措施合理、可行的得</w:t>
            </w:r>
            <w:r>
              <w:rPr>
                <w:rFonts w:hint="eastAsia" w:ascii="宋体" w:hAnsi="宋体"/>
                <w:szCs w:val="21"/>
                <w:lang w:eastAsia="zh-CN"/>
              </w:rPr>
              <w:t>1-</w:t>
            </w:r>
            <w:r>
              <w:rPr>
                <w:rFonts w:hint="eastAsia" w:ascii="宋体" w:hAnsi="宋体"/>
                <w:szCs w:val="21"/>
                <w:lang w:val="en-US" w:eastAsia="zh-CN"/>
              </w:rPr>
              <w:t>3</w:t>
            </w:r>
            <w:r>
              <w:rPr>
                <w:rFonts w:hint="eastAsia" w:ascii="宋体" w:hAnsi="宋体"/>
                <w:szCs w:val="21"/>
                <w:lang w:eastAsia="zh-CN"/>
              </w:rPr>
              <w:t>分</w:t>
            </w:r>
            <w:r>
              <w:rPr>
                <w:rFonts w:hint="eastAsia" w:ascii="宋体" w:hAnsi="宋体"/>
                <w:szCs w:val="21"/>
              </w:rPr>
              <w:t>；</w:t>
            </w:r>
            <w:r>
              <w:rPr>
                <w:rFonts w:hint="eastAsia" w:ascii="宋体" w:hAnsi="宋体"/>
                <w:szCs w:val="21"/>
                <w:lang w:val="en-US" w:eastAsia="zh-CN"/>
              </w:rPr>
              <w:t xml:space="preserve"> </w:t>
            </w:r>
            <w:r>
              <w:rPr>
                <w:rFonts w:hint="eastAsia" w:ascii="宋体" w:hAnsi="宋体"/>
                <w:szCs w:val="21"/>
              </w:rPr>
              <w:t>若无则不得分。</w:t>
            </w:r>
          </w:p>
        </w:tc>
        <w:tc>
          <w:tcPr>
            <w:tcW w:w="679" w:type="pct"/>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Ansi="宋体"/>
                <w:color w:val="auto"/>
                <w:sz w:val="21"/>
                <w:szCs w:val="21"/>
              </w:rPr>
            </w:pPr>
            <w:r>
              <w:rPr>
                <w:rFonts w:hint="eastAsia" w:ascii="宋体" w:hAnsi="宋体"/>
                <w:szCs w:val="21"/>
                <w:lang w:val="en-US" w:eastAsia="zh-CN"/>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71" w:hRule="atLeast"/>
        </w:trPr>
        <w:tc>
          <w:tcPr>
            <w:tcW w:w="429" w:type="pct"/>
            <w:vMerge w:val="continue"/>
            <w:tcBorders>
              <w:left w:val="single" w:color="auto" w:sz="4" w:space="0"/>
              <w:right w:val="single" w:color="auto" w:sz="4" w:space="0"/>
            </w:tcBorders>
            <w:vAlign w:val="center"/>
          </w:tcPr>
          <w:p>
            <w:pPr>
              <w:autoSpaceDE w:val="0"/>
              <w:autoSpaceDN w:val="0"/>
              <w:adjustRightInd w:val="0"/>
              <w:spacing w:before="50" w:line="276" w:lineRule="auto"/>
              <w:ind w:left="59" w:leftChars="28" w:right="96" w:firstLine="4" w:firstLineChars="2"/>
              <w:jc w:val="center"/>
              <w:rPr>
                <w:rFonts w:ascii="宋体" w:hAnsi="宋体" w:eastAsia="宋体" w:cs="宋体"/>
                <w:kern w:val="0"/>
                <w:szCs w:val="21"/>
              </w:rPr>
            </w:pPr>
          </w:p>
        </w:tc>
        <w:tc>
          <w:tcPr>
            <w:tcW w:w="624" w:type="pct"/>
            <w:vMerge w:val="continue"/>
            <w:tcBorders>
              <w:left w:val="single" w:color="auto" w:sz="4" w:space="0"/>
              <w:right w:val="single" w:color="auto" w:sz="4" w:space="0"/>
            </w:tcBorders>
            <w:vAlign w:val="center"/>
          </w:tcPr>
          <w:p>
            <w:pPr>
              <w:autoSpaceDE w:val="0"/>
              <w:autoSpaceDN w:val="0"/>
              <w:adjustRightInd w:val="0"/>
              <w:spacing w:before="50" w:line="276" w:lineRule="auto"/>
              <w:ind w:left="59" w:leftChars="28" w:right="97" w:firstLine="4" w:firstLineChars="2"/>
              <w:rPr>
                <w:rFonts w:ascii="宋体" w:hAnsi="宋体" w:eastAsia="宋体" w:cs="宋体"/>
                <w:kern w:val="0"/>
                <w:szCs w:val="21"/>
              </w:rPr>
            </w:pPr>
          </w:p>
        </w:tc>
        <w:tc>
          <w:tcPr>
            <w:tcW w:w="924" w:type="pct"/>
            <w:tcBorders>
              <w:top w:val="single" w:color="000000" w:sz="4" w:space="0"/>
              <w:left w:val="single" w:color="auto" w:sz="4" w:space="0"/>
              <w:bottom w:val="single" w:color="000000" w:sz="4" w:space="0"/>
              <w:right w:val="single" w:color="000000" w:sz="4" w:space="0"/>
            </w:tcBorders>
            <w:vAlign w:val="center"/>
          </w:tcPr>
          <w:p>
            <w:pPr>
              <w:spacing w:line="240" w:lineRule="auto"/>
              <w:jc w:val="center"/>
              <w:rPr>
                <w:rFonts w:ascii="宋体" w:hAnsi="宋体" w:eastAsia="宋体" w:cs="宋体"/>
                <w:kern w:val="0"/>
                <w:szCs w:val="21"/>
              </w:rPr>
            </w:pPr>
            <w:r>
              <w:rPr>
                <w:rFonts w:hint="eastAsia" w:ascii="宋体" w:hAnsi="宋体"/>
                <w:szCs w:val="21"/>
              </w:rPr>
              <w:t>7</w:t>
            </w:r>
          </w:p>
        </w:tc>
        <w:tc>
          <w:tcPr>
            <w:tcW w:w="877" w:type="pct"/>
            <w:gridSpan w:val="2"/>
            <w:tcBorders>
              <w:top w:val="single" w:color="000000" w:sz="4" w:space="0"/>
              <w:left w:val="single" w:color="000000" w:sz="4" w:space="0"/>
              <w:bottom w:val="single" w:color="000000" w:sz="4" w:space="0"/>
              <w:right w:val="single" w:color="000000" w:sz="4" w:space="0"/>
            </w:tcBorders>
            <w:vAlign w:val="center"/>
          </w:tcPr>
          <w:p>
            <w:pPr>
              <w:spacing w:line="240" w:lineRule="auto"/>
              <w:rPr>
                <w:rFonts w:hAnsi="宋体"/>
                <w:color w:val="auto"/>
                <w:sz w:val="21"/>
                <w:szCs w:val="21"/>
              </w:rPr>
            </w:pPr>
            <w:r>
              <w:rPr>
                <w:rFonts w:hint="eastAsia" w:ascii="宋体" w:hAnsi="宋体"/>
                <w:szCs w:val="21"/>
              </w:rPr>
              <w:t>确保文明施工的技术组织措施</w:t>
            </w:r>
          </w:p>
        </w:tc>
        <w:tc>
          <w:tcPr>
            <w:tcW w:w="1463" w:type="pct"/>
            <w:gridSpan w:val="3"/>
            <w:tcBorders>
              <w:top w:val="single" w:color="000000" w:sz="4" w:space="0"/>
              <w:left w:val="single" w:color="000000" w:sz="4" w:space="0"/>
              <w:bottom w:val="single" w:color="000000" w:sz="4" w:space="0"/>
              <w:right w:val="single" w:color="000000" w:sz="4" w:space="0"/>
            </w:tcBorders>
            <w:vAlign w:val="center"/>
          </w:tcPr>
          <w:p>
            <w:pPr>
              <w:spacing w:line="240" w:lineRule="auto"/>
              <w:rPr>
                <w:rFonts w:hAnsi="宋体"/>
                <w:color w:val="auto"/>
                <w:sz w:val="21"/>
                <w:szCs w:val="21"/>
              </w:rPr>
            </w:pPr>
            <w:r>
              <w:rPr>
                <w:rFonts w:hint="eastAsia" w:ascii="宋体" w:hAnsi="宋体"/>
                <w:szCs w:val="21"/>
              </w:rPr>
              <w:t>确保文明施工的技术组织措施合理、可行的得</w:t>
            </w:r>
            <w:r>
              <w:rPr>
                <w:rFonts w:hint="eastAsia" w:ascii="宋体" w:hAnsi="宋体"/>
                <w:szCs w:val="21"/>
                <w:lang w:eastAsia="zh-CN"/>
              </w:rPr>
              <w:t>1-</w:t>
            </w:r>
            <w:r>
              <w:rPr>
                <w:rFonts w:hint="eastAsia" w:ascii="宋体" w:hAnsi="宋体"/>
                <w:szCs w:val="21"/>
                <w:lang w:val="en-US" w:eastAsia="zh-CN"/>
              </w:rPr>
              <w:t>3</w:t>
            </w:r>
            <w:r>
              <w:rPr>
                <w:rFonts w:hint="eastAsia" w:ascii="宋体" w:hAnsi="宋体"/>
                <w:szCs w:val="21"/>
                <w:lang w:eastAsia="zh-CN"/>
              </w:rPr>
              <w:t>分</w:t>
            </w:r>
            <w:r>
              <w:rPr>
                <w:rFonts w:hint="eastAsia" w:ascii="宋体" w:hAnsi="宋体"/>
                <w:szCs w:val="21"/>
              </w:rPr>
              <w:t>；</w:t>
            </w:r>
            <w:r>
              <w:rPr>
                <w:rFonts w:hint="eastAsia" w:ascii="宋体" w:hAnsi="宋体"/>
                <w:szCs w:val="21"/>
                <w:lang w:val="en-US" w:eastAsia="zh-CN"/>
              </w:rPr>
              <w:t xml:space="preserve"> </w:t>
            </w:r>
            <w:r>
              <w:rPr>
                <w:rFonts w:hint="eastAsia" w:ascii="宋体" w:hAnsi="宋体"/>
                <w:szCs w:val="21"/>
              </w:rPr>
              <w:t>若无则不得分。</w:t>
            </w:r>
          </w:p>
        </w:tc>
        <w:tc>
          <w:tcPr>
            <w:tcW w:w="679" w:type="pct"/>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Ansi="宋体"/>
                <w:color w:val="auto"/>
                <w:sz w:val="21"/>
                <w:szCs w:val="21"/>
              </w:rPr>
            </w:pPr>
            <w:r>
              <w:rPr>
                <w:rFonts w:hint="eastAsia" w:ascii="宋体" w:hAnsi="宋体"/>
                <w:szCs w:val="21"/>
                <w:lang w:val="en-US" w:eastAsia="zh-CN"/>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71" w:hRule="atLeast"/>
        </w:trPr>
        <w:tc>
          <w:tcPr>
            <w:tcW w:w="429" w:type="pct"/>
            <w:vMerge w:val="continue"/>
            <w:tcBorders>
              <w:left w:val="single" w:color="auto" w:sz="4" w:space="0"/>
              <w:right w:val="single" w:color="auto" w:sz="4" w:space="0"/>
            </w:tcBorders>
            <w:vAlign w:val="center"/>
          </w:tcPr>
          <w:p>
            <w:pPr>
              <w:autoSpaceDE w:val="0"/>
              <w:autoSpaceDN w:val="0"/>
              <w:adjustRightInd w:val="0"/>
              <w:spacing w:before="50" w:line="276" w:lineRule="auto"/>
              <w:ind w:left="59" w:leftChars="28" w:right="96" w:firstLine="4" w:firstLineChars="2"/>
              <w:jc w:val="center"/>
              <w:rPr>
                <w:rFonts w:ascii="宋体" w:hAnsi="宋体" w:eastAsia="宋体" w:cs="宋体"/>
                <w:kern w:val="0"/>
                <w:szCs w:val="21"/>
              </w:rPr>
            </w:pPr>
          </w:p>
        </w:tc>
        <w:tc>
          <w:tcPr>
            <w:tcW w:w="624" w:type="pct"/>
            <w:vMerge w:val="continue"/>
            <w:tcBorders>
              <w:left w:val="single" w:color="auto" w:sz="4" w:space="0"/>
              <w:right w:val="single" w:color="auto" w:sz="4" w:space="0"/>
            </w:tcBorders>
            <w:vAlign w:val="center"/>
          </w:tcPr>
          <w:p>
            <w:pPr>
              <w:autoSpaceDE w:val="0"/>
              <w:autoSpaceDN w:val="0"/>
              <w:adjustRightInd w:val="0"/>
              <w:spacing w:before="50" w:line="276" w:lineRule="auto"/>
              <w:ind w:left="59" w:leftChars="28" w:right="97" w:firstLine="4" w:firstLineChars="2"/>
              <w:rPr>
                <w:rFonts w:ascii="宋体" w:hAnsi="宋体" w:eastAsia="宋体" w:cs="宋体"/>
                <w:kern w:val="0"/>
                <w:szCs w:val="21"/>
              </w:rPr>
            </w:pPr>
          </w:p>
        </w:tc>
        <w:tc>
          <w:tcPr>
            <w:tcW w:w="924" w:type="pct"/>
            <w:tcBorders>
              <w:top w:val="single" w:color="000000" w:sz="4" w:space="0"/>
              <w:left w:val="single" w:color="auto" w:sz="4" w:space="0"/>
              <w:bottom w:val="single" w:color="000000" w:sz="4" w:space="0"/>
              <w:right w:val="single" w:color="000000" w:sz="4" w:space="0"/>
            </w:tcBorders>
            <w:vAlign w:val="center"/>
          </w:tcPr>
          <w:p>
            <w:pPr>
              <w:spacing w:line="240" w:lineRule="auto"/>
              <w:jc w:val="center"/>
              <w:rPr>
                <w:rFonts w:ascii="宋体" w:hAnsi="宋体" w:eastAsia="宋体" w:cs="宋体"/>
                <w:kern w:val="0"/>
                <w:szCs w:val="21"/>
              </w:rPr>
            </w:pPr>
            <w:r>
              <w:rPr>
                <w:rFonts w:hint="eastAsia" w:ascii="宋体" w:hAnsi="宋体"/>
                <w:szCs w:val="21"/>
              </w:rPr>
              <w:t>8</w:t>
            </w:r>
          </w:p>
        </w:tc>
        <w:tc>
          <w:tcPr>
            <w:tcW w:w="877" w:type="pct"/>
            <w:gridSpan w:val="2"/>
            <w:tcBorders>
              <w:top w:val="single" w:color="000000" w:sz="4" w:space="0"/>
              <w:left w:val="single" w:color="000000" w:sz="4" w:space="0"/>
              <w:bottom w:val="single" w:color="000000" w:sz="4" w:space="0"/>
              <w:right w:val="single" w:color="000000" w:sz="4" w:space="0"/>
            </w:tcBorders>
            <w:vAlign w:val="center"/>
          </w:tcPr>
          <w:p>
            <w:pPr>
              <w:spacing w:line="240" w:lineRule="auto"/>
              <w:rPr>
                <w:rFonts w:hAnsi="宋体"/>
                <w:color w:val="auto"/>
                <w:sz w:val="21"/>
                <w:szCs w:val="21"/>
              </w:rPr>
            </w:pPr>
            <w:r>
              <w:rPr>
                <w:rFonts w:hint="eastAsia" w:ascii="宋体" w:hAnsi="宋体"/>
                <w:szCs w:val="21"/>
              </w:rPr>
              <w:t>确保报价完成工程建设的技术和管理措施</w:t>
            </w:r>
          </w:p>
        </w:tc>
        <w:tc>
          <w:tcPr>
            <w:tcW w:w="1463" w:type="pct"/>
            <w:gridSpan w:val="3"/>
            <w:tcBorders>
              <w:top w:val="single" w:color="000000" w:sz="4" w:space="0"/>
              <w:left w:val="single" w:color="000000" w:sz="4" w:space="0"/>
              <w:bottom w:val="single" w:color="000000" w:sz="4" w:space="0"/>
              <w:right w:val="single" w:color="000000" w:sz="4" w:space="0"/>
            </w:tcBorders>
            <w:vAlign w:val="center"/>
          </w:tcPr>
          <w:p>
            <w:pPr>
              <w:spacing w:line="240" w:lineRule="auto"/>
              <w:rPr>
                <w:rFonts w:hint="eastAsia" w:ascii="宋体" w:hAnsi="宋体"/>
                <w:szCs w:val="21"/>
              </w:rPr>
            </w:pPr>
            <w:r>
              <w:rPr>
                <w:rFonts w:hint="eastAsia" w:ascii="宋体" w:hAnsi="宋体"/>
                <w:szCs w:val="21"/>
                <w:lang w:val="en-US" w:eastAsia="zh-CN"/>
              </w:rPr>
              <w:t>确保报价完成工程建设的技术和管理措施，合理、可行的得1-3分； 若无则不得分</w:t>
            </w:r>
            <w:r>
              <w:rPr>
                <w:rFonts w:hint="eastAsia" w:ascii="宋体" w:hAnsi="宋体"/>
                <w:szCs w:val="21"/>
              </w:rPr>
              <w:t>。</w:t>
            </w:r>
          </w:p>
        </w:tc>
        <w:tc>
          <w:tcPr>
            <w:tcW w:w="679" w:type="pct"/>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Ansi="宋体"/>
                <w:color w:val="auto"/>
                <w:sz w:val="21"/>
                <w:szCs w:val="21"/>
              </w:rPr>
            </w:pPr>
            <w:r>
              <w:rPr>
                <w:rFonts w:hint="eastAsia" w:ascii="宋体" w:hAnsi="宋体"/>
                <w:szCs w:val="21"/>
                <w:lang w:val="en-US" w:eastAsia="zh-CN"/>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71" w:hRule="atLeast"/>
        </w:trPr>
        <w:tc>
          <w:tcPr>
            <w:tcW w:w="429" w:type="pct"/>
            <w:vMerge w:val="continue"/>
            <w:tcBorders>
              <w:left w:val="single" w:color="auto" w:sz="4" w:space="0"/>
              <w:right w:val="single" w:color="auto" w:sz="4" w:space="0"/>
            </w:tcBorders>
            <w:vAlign w:val="center"/>
          </w:tcPr>
          <w:p>
            <w:pPr>
              <w:autoSpaceDE w:val="0"/>
              <w:autoSpaceDN w:val="0"/>
              <w:adjustRightInd w:val="0"/>
              <w:spacing w:before="50" w:line="276" w:lineRule="auto"/>
              <w:ind w:left="59" w:leftChars="28" w:right="96" w:firstLine="4" w:firstLineChars="2"/>
              <w:jc w:val="center"/>
              <w:rPr>
                <w:rFonts w:ascii="宋体" w:hAnsi="宋体" w:eastAsia="宋体" w:cs="宋体"/>
                <w:kern w:val="0"/>
                <w:szCs w:val="21"/>
              </w:rPr>
            </w:pPr>
          </w:p>
        </w:tc>
        <w:tc>
          <w:tcPr>
            <w:tcW w:w="624" w:type="pct"/>
            <w:vMerge w:val="continue"/>
            <w:tcBorders>
              <w:left w:val="single" w:color="auto" w:sz="4" w:space="0"/>
              <w:right w:val="single" w:color="auto" w:sz="4" w:space="0"/>
            </w:tcBorders>
            <w:vAlign w:val="center"/>
          </w:tcPr>
          <w:p>
            <w:pPr>
              <w:autoSpaceDE w:val="0"/>
              <w:autoSpaceDN w:val="0"/>
              <w:adjustRightInd w:val="0"/>
              <w:spacing w:before="50" w:line="276" w:lineRule="auto"/>
              <w:ind w:left="59" w:leftChars="28" w:right="97" w:firstLine="4" w:firstLineChars="2"/>
              <w:rPr>
                <w:rFonts w:ascii="宋体" w:hAnsi="宋体" w:eastAsia="宋体" w:cs="宋体"/>
                <w:kern w:val="0"/>
                <w:szCs w:val="21"/>
              </w:rPr>
            </w:pPr>
          </w:p>
        </w:tc>
        <w:tc>
          <w:tcPr>
            <w:tcW w:w="924" w:type="pct"/>
            <w:tcBorders>
              <w:top w:val="single" w:color="000000" w:sz="4" w:space="0"/>
              <w:left w:val="single" w:color="auto" w:sz="4" w:space="0"/>
              <w:bottom w:val="single" w:color="000000" w:sz="4" w:space="0"/>
              <w:right w:val="single" w:color="000000" w:sz="4" w:space="0"/>
            </w:tcBorders>
            <w:vAlign w:val="center"/>
          </w:tcPr>
          <w:p>
            <w:pPr>
              <w:spacing w:line="240" w:lineRule="auto"/>
              <w:jc w:val="center"/>
              <w:rPr>
                <w:rFonts w:ascii="宋体" w:hAnsi="宋体" w:eastAsia="宋体" w:cs="宋体"/>
                <w:kern w:val="0"/>
                <w:szCs w:val="21"/>
              </w:rPr>
            </w:pPr>
            <w:r>
              <w:rPr>
                <w:rFonts w:hint="eastAsia" w:ascii="宋体" w:hAnsi="宋体"/>
                <w:szCs w:val="21"/>
              </w:rPr>
              <w:t>9</w:t>
            </w:r>
          </w:p>
        </w:tc>
        <w:tc>
          <w:tcPr>
            <w:tcW w:w="877" w:type="pct"/>
            <w:gridSpan w:val="2"/>
            <w:tcBorders>
              <w:top w:val="single" w:color="000000" w:sz="4" w:space="0"/>
              <w:left w:val="single" w:color="000000" w:sz="4" w:space="0"/>
              <w:bottom w:val="single" w:color="000000" w:sz="4" w:space="0"/>
              <w:right w:val="single" w:color="000000" w:sz="4" w:space="0"/>
            </w:tcBorders>
            <w:vAlign w:val="center"/>
          </w:tcPr>
          <w:p>
            <w:pPr>
              <w:spacing w:line="240" w:lineRule="auto"/>
              <w:rPr>
                <w:rFonts w:hAnsi="宋体"/>
                <w:color w:val="auto"/>
                <w:sz w:val="21"/>
                <w:szCs w:val="21"/>
              </w:rPr>
            </w:pPr>
            <w:r>
              <w:rPr>
                <w:rFonts w:hint="eastAsia" w:ascii="宋体" w:hAnsi="宋体"/>
                <w:szCs w:val="21"/>
              </w:rPr>
              <w:t>主要施工工艺和施工方法</w:t>
            </w:r>
          </w:p>
        </w:tc>
        <w:tc>
          <w:tcPr>
            <w:tcW w:w="1463" w:type="pct"/>
            <w:gridSpan w:val="3"/>
            <w:tcBorders>
              <w:top w:val="single" w:color="000000" w:sz="4" w:space="0"/>
              <w:left w:val="single" w:color="000000" w:sz="4" w:space="0"/>
              <w:bottom w:val="single" w:color="000000" w:sz="4" w:space="0"/>
              <w:right w:val="single" w:color="000000" w:sz="4" w:space="0"/>
            </w:tcBorders>
            <w:vAlign w:val="center"/>
          </w:tcPr>
          <w:p>
            <w:pPr>
              <w:spacing w:line="240" w:lineRule="auto"/>
              <w:rPr>
                <w:rFonts w:hint="eastAsia" w:ascii="宋体" w:hAnsi="宋体"/>
                <w:szCs w:val="21"/>
              </w:rPr>
            </w:pPr>
            <w:r>
              <w:rPr>
                <w:rFonts w:hint="eastAsia" w:ascii="宋体" w:hAnsi="宋体"/>
                <w:szCs w:val="21"/>
              </w:rPr>
              <w:t>主要施工工艺和施工方法合理、可行的得</w:t>
            </w:r>
            <w:r>
              <w:rPr>
                <w:rFonts w:hint="eastAsia" w:ascii="宋体" w:hAnsi="宋体"/>
                <w:szCs w:val="21"/>
                <w:lang w:eastAsia="zh-CN"/>
              </w:rPr>
              <w:t>1-</w:t>
            </w:r>
            <w:r>
              <w:rPr>
                <w:rFonts w:hint="eastAsia" w:ascii="宋体" w:hAnsi="宋体"/>
                <w:szCs w:val="21"/>
                <w:lang w:val="en-US" w:eastAsia="zh-CN"/>
              </w:rPr>
              <w:t>3</w:t>
            </w:r>
            <w:r>
              <w:rPr>
                <w:rFonts w:hint="eastAsia" w:ascii="宋体" w:hAnsi="宋体"/>
                <w:szCs w:val="21"/>
                <w:lang w:eastAsia="zh-CN"/>
              </w:rPr>
              <w:t>分</w:t>
            </w:r>
            <w:r>
              <w:rPr>
                <w:rFonts w:hint="eastAsia" w:ascii="宋体" w:hAnsi="宋体"/>
                <w:szCs w:val="21"/>
              </w:rPr>
              <w:t>；</w:t>
            </w:r>
            <w:r>
              <w:rPr>
                <w:rFonts w:hint="eastAsia" w:ascii="宋体" w:hAnsi="宋体"/>
                <w:szCs w:val="21"/>
                <w:lang w:val="en-US" w:eastAsia="zh-CN"/>
              </w:rPr>
              <w:t xml:space="preserve"> </w:t>
            </w:r>
            <w:r>
              <w:rPr>
                <w:rFonts w:hint="eastAsia" w:ascii="宋体" w:hAnsi="宋体"/>
                <w:szCs w:val="21"/>
              </w:rPr>
              <w:t>若无则不得分。</w:t>
            </w:r>
          </w:p>
        </w:tc>
        <w:tc>
          <w:tcPr>
            <w:tcW w:w="679" w:type="pct"/>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Ansi="宋体"/>
                <w:color w:val="auto"/>
                <w:sz w:val="21"/>
                <w:szCs w:val="21"/>
              </w:rPr>
            </w:pPr>
            <w:r>
              <w:rPr>
                <w:rFonts w:hint="eastAsia" w:ascii="宋体" w:hAnsi="宋体"/>
                <w:szCs w:val="21"/>
                <w:lang w:val="en-US" w:eastAsia="zh-CN"/>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71" w:hRule="atLeast"/>
        </w:trPr>
        <w:tc>
          <w:tcPr>
            <w:tcW w:w="429" w:type="pct"/>
            <w:vMerge w:val="continue"/>
            <w:tcBorders>
              <w:left w:val="single" w:color="auto" w:sz="4" w:space="0"/>
              <w:right w:val="single" w:color="auto" w:sz="4" w:space="0"/>
            </w:tcBorders>
            <w:vAlign w:val="center"/>
          </w:tcPr>
          <w:p>
            <w:pPr>
              <w:autoSpaceDE w:val="0"/>
              <w:autoSpaceDN w:val="0"/>
              <w:adjustRightInd w:val="0"/>
              <w:spacing w:before="50" w:line="276" w:lineRule="auto"/>
              <w:ind w:left="59" w:leftChars="28" w:right="96" w:firstLine="4" w:firstLineChars="2"/>
              <w:jc w:val="center"/>
              <w:rPr>
                <w:rFonts w:ascii="宋体" w:hAnsi="宋体" w:eastAsia="宋体" w:cs="宋体"/>
                <w:kern w:val="0"/>
                <w:szCs w:val="21"/>
              </w:rPr>
            </w:pPr>
          </w:p>
        </w:tc>
        <w:tc>
          <w:tcPr>
            <w:tcW w:w="624" w:type="pct"/>
            <w:vMerge w:val="continue"/>
            <w:tcBorders>
              <w:left w:val="single" w:color="auto" w:sz="4" w:space="0"/>
              <w:right w:val="single" w:color="auto" w:sz="4" w:space="0"/>
            </w:tcBorders>
            <w:vAlign w:val="center"/>
          </w:tcPr>
          <w:p>
            <w:pPr>
              <w:autoSpaceDE w:val="0"/>
              <w:autoSpaceDN w:val="0"/>
              <w:adjustRightInd w:val="0"/>
              <w:spacing w:before="50" w:line="276" w:lineRule="auto"/>
              <w:ind w:left="59" w:leftChars="28" w:right="97" w:firstLine="4" w:firstLineChars="2"/>
              <w:rPr>
                <w:rFonts w:ascii="宋体" w:hAnsi="宋体" w:eastAsia="宋体" w:cs="宋体"/>
                <w:kern w:val="0"/>
                <w:szCs w:val="21"/>
              </w:rPr>
            </w:pPr>
          </w:p>
        </w:tc>
        <w:tc>
          <w:tcPr>
            <w:tcW w:w="924" w:type="pct"/>
            <w:tcBorders>
              <w:top w:val="single" w:color="000000" w:sz="4" w:space="0"/>
              <w:left w:val="single" w:color="auto" w:sz="4" w:space="0"/>
              <w:bottom w:val="single" w:color="000000" w:sz="4" w:space="0"/>
              <w:right w:val="single" w:color="000000" w:sz="4" w:space="0"/>
            </w:tcBorders>
            <w:vAlign w:val="center"/>
          </w:tcPr>
          <w:p>
            <w:pPr>
              <w:spacing w:line="240" w:lineRule="auto"/>
              <w:jc w:val="center"/>
              <w:rPr>
                <w:rFonts w:ascii="宋体" w:hAnsi="宋体" w:eastAsia="宋体" w:cs="宋体"/>
                <w:kern w:val="0"/>
                <w:szCs w:val="21"/>
              </w:rPr>
            </w:pPr>
            <w:r>
              <w:rPr>
                <w:rFonts w:hint="eastAsia" w:ascii="宋体" w:hAnsi="宋体"/>
                <w:szCs w:val="21"/>
              </w:rPr>
              <w:t>10</w:t>
            </w:r>
          </w:p>
        </w:tc>
        <w:tc>
          <w:tcPr>
            <w:tcW w:w="877" w:type="pct"/>
            <w:gridSpan w:val="2"/>
            <w:tcBorders>
              <w:top w:val="single" w:color="000000" w:sz="4" w:space="0"/>
              <w:left w:val="single" w:color="000000" w:sz="4" w:space="0"/>
              <w:bottom w:val="single" w:color="000000" w:sz="4" w:space="0"/>
              <w:right w:val="single" w:color="000000" w:sz="4" w:space="0"/>
            </w:tcBorders>
            <w:vAlign w:val="center"/>
          </w:tcPr>
          <w:p>
            <w:pPr>
              <w:spacing w:line="240" w:lineRule="auto"/>
              <w:rPr>
                <w:rFonts w:hAnsi="宋体"/>
                <w:color w:val="auto"/>
                <w:sz w:val="21"/>
                <w:szCs w:val="21"/>
              </w:rPr>
            </w:pPr>
            <w:r>
              <w:rPr>
                <w:rFonts w:hint="eastAsia" w:ascii="宋体" w:hAnsi="宋体"/>
                <w:szCs w:val="21"/>
              </w:rPr>
              <w:t>质保措施</w:t>
            </w:r>
          </w:p>
        </w:tc>
        <w:tc>
          <w:tcPr>
            <w:tcW w:w="1463" w:type="pct"/>
            <w:gridSpan w:val="3"/>
            <w:tcBorders>
              <w:top w:val="single" w:color="000000" w:sz="4" w:space="0"/>
              <w:left w:val="single" w:color="000000" w:sz="4" w:space="0"/>
              <w:bottom w:val="single" w:color="000000" w:sz="4" w:space="0"/>
              <w:right w:val="single" w:color="000000" w:sz="4" w:space="0"/>
            </w:tcBorders>
            <w:vAlign w:val="center"/>
          </w:tcPr>
          <w:p>
            <w:pPr>
              <w:spacing w:line="240" w:lineRule="auto"/>
              <w:rPr>
                <w:rFonts w:hint="eastAsia" w:ascii="宋体" w:hAnsi="宋体"/>
                <w:szCs w:val="21"/>
              </w:rPr>
            </w:pPr>
            <w:r>
              <w:rPr>
                <w:rFonts w:hint="eastAsia" w:ascii="宋体" w:hAnsi="宋体"/>
                <w:szCs w:val="21"/>
              </w:rPr>
              <w:t>质保措施，合理、可行的得</w:t>
            </w:r>
            <w:r>
              <w:rPr>
                <w:rFonts w:hint="eastAsia" w:ascii="宋体" w:hAnsi="宋体"/>
                <w:szCs w:val="21"/>
                <w:lang w:eastAsia="zh-CN"/>
              </w:rPr>
              <w:t>1-</w:t>
            </w:r>
            <w:r>
              <w:rPr>
                <w:rFonts w:hint="eastAsia" w:ascii="宋体" w:hAnsi="宋体"/>
                <w:szCs w:val="21"/>
                <w:lang w:val="en-US" w:eastAsia="zh-CN"/>
              </w:rPr>
              <w:t>3</w:t>
            </w:r>
            <w:r>
              <w:rPr>
                <w:rFonts w:hint="eastAsia" w:ascii="宋体" w:hAnsi="宋体"/>
                <w:szCs w:val="21"/>
                <w:lang w:eastAsia="zh-CN"/>
              </w:rPr>
              <w:t>分</w:t>
            </w:r>
            <w:r>
              <w:rPr>
                <w:rFonts w:hint="eastAsia" w:ascii="宋体" w:hAnsi="宋体"/>
                <w:szCs w:val="21"/>
              </w:rPr>
              <w:t>；</w:t>
            </w:r>
            <w:r>
              <w:rPr>
                <w:rFonts w:hint="eastAsia" w:ascii="宋体" w:hAnsi="宋体"/>
                <w:szCs w:val="21"/>
                <w:lang w:val="en-US" w:eastAsia="zh-CN"/>
              </w:rPr>
              <w:t xml:space="preserve"> </w:t>
            </w:r>
            <w:r>
              <w:rPr>
                <w:rFonts w:hint="eastAsia" w:ascii="宋体" w:hAnsi="宋体"/>
                <w:szCs w:val="21"/>
              </w:rPr>
              <w:t>若无则不得分。</w:t>
            </w:r>
          </w:p>
        </w:tc>
        <w:tc>
          <w:tcPr>
            <w:tcW w:w="679" w:type="pct"/>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Ansi="宋体"/>
                <w:color w:val="auto"/>
                <w:sz w:val="21"/>
                <w:szCs w:val="21"/>
              </w:rPr>
            </w:pPr>
            <w:r>
              <w:rPr>
                <w:rFonts w:hint="eastAsia" w:ascii="宋体" w:hAnsi="宋体"/>
                <w:szCs w:val="21"/>
                <w:lang w:val="en-US" w:eastAsia="zh-CN"/>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68" w:hRule="atLeast"/>
        </w:trPr>
        <w:tc>
          <w:tcPr>
            <w:tcW w:w="429" w:type="pct"/>
            <w:vMerge w:val="continue"/>
            <w:tcBorders>
              <w:left w:val="single" w:color="auto" w:sz="4" w:space="0"/>
              <w:right w:val="single" w:color="auto" w:sz="4" w:space="0"/>
            </w:tcBorders>
            <w:vAlign w:val="center"/>
          </w:tcPr>
          <w:p>
            <w:pPr>
              <w:autoSpaceDE w:val="0"/>
              <w:autoSpaceDN w:val="0"/>
              <w:adjustRightInd w:val="0"/>
              <w:spacing w:before="50" w:line="276" w:lineRule="auto"/>
              <w:ind w:left="59" w:leftChars="28" w:right="96" w:firstLine="4" w:firstLineChars="2"/>
              <w:jc w:val="center"/>
              <w:rPr>
                <w:rFonts w:ascii="宋体" w:hAnsi="宋体" w:eastAsia="宋体" w:cs="宋体"/>
                <w:kern w:val="0"/>
                <w:szCs w:val="21"/>
              </w:rPr>
            </w:pPr>
          </w:p>
        </w:tc>
        <w:tc>
          <w:tcPr>
            <w:tcW w:w="624" w:type="pct"/>
            <w:vMerge w:val="continue"/>
            <w:tcBorders>
              <w:left w:val="single" w:color="auto" w:sz="4" w:space="0"/>
              <w:right w:val="single" w:color="auto" w:sz="4" w:space="0"/>
            </w:tcBorders>
            <w:vAlign w:val="center"/>
          </w:tcPr>
          <w:p>
            <w:pPr>
              <w:autoSpaceDE w:val="0"/>
              <w:autoSpaceDN w:val="0"/>
              <w:adjustRightInd w:val="0"/>
              <w:spacing w:before="50" w:line="276" w:lineRule="auto"/>
              <w:ind w:left="59" w:leftChars="28" w:right="97" w:firstLine="4" w:firstLineChars="2"/>
              <w:rPr>
                <w:rFonts w:ascii="宋体" w:hAnsi="宋体" w:eastAsia="宋体" w:cs="宋体"/>
                <w:kern w:val="0"/>
                <w:szCs w:val="21"/>
              </w:rPr>
            </w:pPr>
          </w:p>
        </w:tc>
        <w:tc>
          <w:tcPr>
            <w:tcW w:w="924" w:type="pct"/>
            <w:tcBorders>
              <w:top w:val="single" w:color="000000" w:sz="4" w:space="0"/>
              <w:left w:val="single" w:color="auto" w:sz="4" w:space="0"/>
              <w:bottom w:val="single" w:color="000000" w:sz="4" w:space="0"/>
              <w:right w:val="single" w:color="000000" w:sz="4" w:space="0"/>
            </w:tcBorders>
            <w:vAlign w:val="center"/>
          </w:tcPr>
          <w:p>
            <w:pPr>
              <w:spacing w:line="240" w:lineRule="auto"/>
              <w:jc w:val="center"/>
              <w:rPr>
                <w:rFonts w:ascii="宋体" w:hAnsi="宋体" w:eastAsia="宋体" w:cs="宋体"/>
                <w:kern w:val="0"/>
                <w:szCs w:val="21"/>
              </w:rPr>
            </w:pPr>
            <w:r>
              <w:rPr>
                <w:rFonts w:hint="eastAsia" w:ascii="宋体" w:hAnsi="宋体"/>
                <w:szCs w:val="21"/>
              </w:rPr>
              <w:t>11</w:t>
            </w:r>
          </w:p>
        </w:tc>
        <w:tc>
          <w:tcPr>
            <w:tcW w:w="877" w:type="pct"/>
            <w:gridSpan w:val="2"/>
            <w:tcBorders>
              <w:top w:val="single" w:color="000000" w:sz="4" w:space="0"/>
              <w:left w:val="single" w:color="000000" w:sz="4" w:space="0"/>
              <w:bottom w:val="single" w:color="000000" w:sz="4" w:space="0"/>
              <w:right w:val="single" w:color="000000" w:sz="4" w:space="0"/>
            </w:tcBorders>
            <w:vAlign w:val="center"/>
          </w:tcPr>
          <w:p>
            <w:pPr>
              <w:spacing w:line="240" w:lineRule="auto"/>
              <w:rPr>
                <w:rFonts w:hAnsi="宋体"/>
                <w:color w:val="auto"/>
                <w:sz w:val="21"/>
                <w:szCs w:val="21"/>
              </w:rPr>
            </w:pPr>
            <w:r>
              <w:rPr>
                <w:rFonts w:hint="eastAsia" w:ascii="宋体" w:hAnsi="宋体"/>
              </w:rPr>
              <w:t>设备、材料使用</w:t>
            </w:r>
          </w:p>
        </w:tc>
        <w:tc>
          <w:tcPr>
            <w:tcW w:w="1463" w:type="pct"/>
            <w:gridSpan w:val="3"/>
            <w:tcBorders>
              <w:top w:val="single" w:color="000000" w:sz="4" w:space="0"/>
              <w:left w:val="single" w:color="000000" w:sz="4" w:space="0"/>
              <w:bottom w:val="single" w:color="000000" w:sz="4" w:space="0"/>
              <w:right w:val="single" w:color="000000" w:sz="4" w:space="0"/>
            </w:tcBorders>
            <w:vAlign w:val="center"/>
          </w:tcPr>
          <w:p>
            <w:pPr>
              <w:spacing w:line="240" w:lineRule="auto"/>
              <w:rPr>
                <w:rFonts w:hint="eastAsia"/>
              </w:rPr>
            </w:pPr>
            <w:r>
              <w:rPr>
                <w:rFonts w:hint="eastAsia"/>
              </w:rPr>
              <w:t>投标人应确保使用设备和材料满足第七章要求，并针对第</w:t>
            </w:r>
            <w:r>
              <w:rPr>
                <w:rFonts w:hint="eastAsia"/>
                <w:lang w:val="en-US" w:eastAsia="zh-CN"/>
              </w:rPr>
              <w:t>五</w:t>
            </w:r>
            <w:r>
              <w:rPr>
                <w:rFonts w:hint="eastAsia"/>
              </w:rPr>
              <w:t>章的要求分别承诺：</w:t>
            </w:r>
          </w:p>
          <w:p>
            <w:pPr>
              <w:spacing w:line="240" w:lineRule="auto"/>
              <w:rPr>
                <w:rFonts w:hint="eastAsia"/>
              </w:rPr>
            </w:pPr>
            <w:r>
              <w:rPr>
                <w:rFonts w:hint="eastAsia"/>
              </w:rPr>
              <w:t>1、高低压设备、元器件技术要求及生产厂家承诺；</w:t>
            </w:r>
          </w:p>
          <w:p>
            <w:pPr>
              <w:spacing w:line="240" w:lineRule="auto"/>
              <w:rPr>
                <w:rFonts w:hint="eastAsia"/>
              </w:rPr>
            </w:pPr>
            <w:r>
              <w:rPr>
                <w:rFonts w:hint="eastAsia"/>
              </w:rPr>
              <w:t>2、电力电缆技术要求及生产厂家承诺；</w:t>
            </w:r>
          </w:p>
          <w:p>
            <w:pPr>
              <w:spacing w:line="240" w:lineRule="auto"/>
              <w:rPr>
                <w:rFonts w:hint="eastAsia"/>
              </w:rPr>
            </w:pPr>
            <w:r>
              <w:rPr>
                <w:rFonts w:hint="eastAsia"/>
              </w:rPr>
              <w:t>3、变压器技术要求及生产厂家承诺。</w:t>
            </w:r>
          </w:p>
          <w:p>
            <w:pPr>
              <w:spacing w:line="240" w:lineRule="auto"/>
              <w:rPr>
                <w:rFonts w:hint="eastAsia" w:eastAsiaTheme="minorEastAsia"/>
                <w:lang w:val="en-US" w:eastAsia="zh-CN"/>
              </w:rPr>
            </w:pPr>
            <w:r>
              <w:rPr>
                <w:rFonts w:hint="eastAsia"/>
              </w:rPr>
              <w:t>以上三项承诺，，合理、可行的得</w:t>
            </w:r>
            <w:r>
              <w:rPr>
                <w:rFonts w:hint="eastAsia"/>
                <w:lang w:eastAsia="zh-CN"/>
              </w:rPr>
              <w:t>1-</w:t>
            </w:r>
            <w:r>
              <w:rPr>
                <w:rFonts w:hint="eastAsia"/>
                <w:lang w:val="en-US" w:eastAsia="zh-CN"/>
              </w:rPr>
              <w:t>5</w:t>
            </w:r>
            <w:r>
              <w:rPr>
                <w:rFonts w:hint="eastAsia"/>
                <w:lang w:eastAsia="zh-CN"/>
              </w:rPr>
              <w:t>分</w:t>
            </w:r>
            <w:r>
              <w:rPr>
                <w:rFonts w:hint="eastAsia"/>
              </w:rPr>
              <w:t>；若无则不得</w:t>
            </w:r>
            <w:r>
              <w:rPr>
                <w:rFonts w:hint="eastAsia"/>
                <w:lang w:val="en-US" w:eastAsia="zh-CN"/>
              </w:rPr>
              <w:t>分；</w:t>
            </w:r>
          </w:p>
        </w:tc>
        <w:tc>
          <w:tcPr>
            <w:tcW w:w="679" w:type="pct"/>
            <w:tcBorders>
              <w:top w:val="single" w:color="000000" w:sz="4" w:space="0"/>
              <w:left w:val="single" w:color="000000" w:sz="4" w:space="0"/>
              <w:bottom w:val="single" w:color="000000" w:sz="4" w:space="0"/>
              <w:right w:val="single" w:color="000000" w:sz="4" w:space="0"/>
            </w:tcBorders>
            <w:vAlign w:val="center"/>
          </w:tcPr>
          <w:p>
            <w:pPr>
              <w:spacing w:line="240" w:lineRule="auto"/>
              <w:ind w:firstLine="420" w:firstLineChars="200"/>
              <w:rPr>
                <w:rFonts w:hAnsi="宋体"/>
                <w:color w:val="auto"/>
                <w:sz w:val="21"/>
                <w:szCs w:val="21"/>
              </w:rPr>
            </w:pPr>
            <w:r>
              <w:rPr>
                <w:rFonts w:hint="eastAsia" w:ascii="宋体" w:hAnsi="宋体"/>
                <w:szCs w:val="21"/>
                <w:lang w:val="en-US" w:eastAsia="zh-CN"/>
              </w:rPr>
              <w:t>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71" w:hRule="atLeast"/>
        </w:trPr>
        <w:tc>
          <w:tcPr>
            <w:tcW w:w="429" w:type="pct"/>
            <w:vMerge w:val="continue"/>
            <w:tcBorders>
              <w:left w:val="single" w:color="auto" w:sz="4" w:space="0"/>
              <w:right w:val="single" w:color="auto" w:sz="4" w:space="0"/>
            </w:tcBorders>
            <w:vAlign w:val="center"/>
          </w:tcPr>
          <w:p>
            <w:pPr>
              <w:autoSpaceDE w:val="0"/>
              <w:autoSpaceDN w:val="0"/>
              <w:adjustRightInd w:val="0"/>
              <w:spacing w:before="50" w:line="276" w:lineRule="auto"/>
              <w:ind w:left="59" w:leftChars="28" w:right="96" w:firstLine="4" w:firstLineChars="2"/>
              <w:jc w:val="center"/>
              <w:rPr>
                <w:rFonts w:ascii="宋体" w:hAnsi="宋体" w:eastAsia="宋体" w:cs="宋体"/>
                <w:kern w:val="0"/>
                <w:szCs w:val="21"/>
              </w:rPr>
            </w:pPr>
          </w:p>
        </w:tc>
        <w:tc>
          <w:tcPr>
            <w:tcW w:w="624" w:type="pct"/>
            <w:vMerge w:val="continue"/>
            <w:tcBorders>
              <w:left w:val="single" w:color="auto" w:sz="4" w:space="0"/>
              <w:right w:val="single" w:color="auto" w:sz="4" w:space="0"/>
            </w:tcBorders>
            <w:vAlign w:val="center"/>
          </w:tcPr>
          <w:p>
            <w:pPr>
              <w:autoSpaceDE w:val="0"/>
              <w:autoSpaceDN w:val="0"/>
              <w:adjustRightInd w:val="0"/>
              <w:spacing w:before="50" w:line="276" w:lineRule="auto"/>
              <w:ind w:left="59" w:leftChars="28" w:right="97" w:firstLine="4" w:firstLineChars="2"/>
              <w:rPr>
                <w:rFonts w:ascii="宋体" w:hAnsi="宋体" w:eastAsia="宋体" w:cs="宋体"/>
                <w:kern w:val="0"/>
                <w:szCs w:val="21"/>
              </w:rPr>
            </w:pPr>
          </w:p>
        </w:tc>
        <w:tc>
          <w:tcPr>
            <w:tcW w:w="924" w:type="pct"/>
            <w:tcBorders>
              <w:top w:val="single" w:color="000000" w:sz="4" w:space="0"/>
              <w:left w:val="single" w:color="auto" w:sz="4" w:space="0"/>
              <w:bottom w:val="single" w:color="000000" w:sz="4" w:space="0"/>
              <w:right w:val="single" w:color="000000" w:sz="4" w:space="0"/>
            </w:tcBorders>
            <w:vAlign w:val="center"/>
          </w:tcPr>
          <w:p>
            <w:pPr>
              <w:spacing w:line="240" w:lineRule="auto"/>
              <w:jc w:val="center"/>
              <w:rPr>
                <w:rFonts w:ascii="宋体" w:hAnsi="宋体" w:eastAsia="宋体" w:cs="宋体"/>
                <w:kern w:val="0"/>
                <w:szCs w:val="21"/>
              </w:rPr>
            </w:pPr>
            <w:r>
              <w:rPr>
                <w:rFonts w:hint="eastAsia" w:ascii="宋体" w:hAnsi="宋体"/>
                <w:szCs w:val="21"/>
              </w:rPr>
              <w:t>12</w:t>
            </w:r>
          </w:p>
        </w:tc>
        <w:tc>
          <w:tcPr>
            <w:tcW w:w="877" w:type="pct"/>
            <w:gridSpan w:val="2"/>
            <w:tcBorders>
              <w:top w:val="single" w:color="000000" w:sz="4" w:space="0"/>
              <w:left w:val="single" w:color="000000" w:sz="4" w:space="0"/>
              <w:bottom w:val="single" w:color="000000" w:sz="4" w:space="0"/>
              <w:right w:val="single" w:color="000000" w:sz="4" w:space="0"/>
            </w:tcBorders>
            <w:vAlign w:val="center"/>
          </w:tcPr>
          <w:p>
            <w:pPr>
              <w:spacing w:line="240" w:lineRule="auto"/>
              <w:rPr>
                <w:rFonts w:hAnsi="宋体"/>
                <w:color w:val="auto"/>
                <w:sz w:val="21"/>
                <w:szCs w:val="21"/>
              </w:rPr>
            </w:pPr>
            <w:r>
              <w:rPr>
                <w:rFonts w:hint="eastAsia" w:ascii="宋体" w:hAnsi="宋体"/>
                <w:szCs w:val="21"/>
              </w:rPr>
              <w:t>方案</w:t>
            </w:r>
            <w:r>
              <w:rPr>
                <w:rFonts w:ascii="宋体" w:hAnsi="宋体"/>
                <w:szCs w:val="21"/>
              </w:rPr>
              <w:t>优化</w:t>
            </w:r>
          </w:p>
        </w:tc>
        <w:tc>
          <w:tcPr>
            <w:tcW w:w="1463" w:type="pct"/>
            <w:gridSpan w:val="3"/>
            <w:tcBorders>
              <w:top w:val="single" w:color="000000" w:sz="4" w:space="0"/>
              <w:left w:val="single" w:color="000000" w:sz="4" w:space="0"/>
              <w:bottom w:val="single" w:color="000000" w:sz="4" w:space="0"/>
              <w:right w:val="single" w:color="000000" w:sz="4" w:space="0"/>
            </w:tcBorders>
            <w:vAlign w:val="center"/>
          </w:tcPr>
          <w:p>
            <w:pPr>
              <w:spacing w:line="240" w:lineRule="auto"/>
              <w:rPr>
                <w:rFonts w:hAnsi="宋体"/>
                <w:color w:val="auto"/>
                <w:sz w:val="21"/>
                <w:szCs w:val="21"/>
              </w:rPr>
            </w:pPr>
            <w:r>
              <w:rPr>
                <w:rFonts w:hint="eastAsia" w:ascii="宋体" w:hAnsi="宋体"/>
                <w:szCs w:val="21"/>
              </w:rPr>
              <w:t>提出对甲方有利的可操作性的方案得0-</w:t>
            </w:r>
            <w:r>
              <w:rPr>
                <w:rFonts w:hint="eastAsia" w:ascii="宋体" w:hAnsi="宋体"/>
                <w:szCs w:val="21"/>
                <w:lang w:val="en-US" w:eastAsia="zh-CN"/>
              </w:rPr>
              <w:t>5</w:t>
            </w:r>
            <w:r>
              <w:rPr>
                <w:rFonts w:hint="eastAsia" w:ascii="宋体" w:hAnsi="宋体"/>
                <w:szCs w:val="21"/>
              </w:rPr>
              <w:t>分。</w:t>
            </w:r>
          </w:p>
        </w:tc>
        <w:tc>
          <w:tcPr>
            <w:tcW w:w="679" w:type="pct"/>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Ansi="宋体"/>
                <w:color w:val="auto"/>
                <w:sz w:val="21"/>
                <w:szCs w:val="21"/>
              </w:rPr>
            </w:pPr>
            <w:r>
              <w:rPr>
                <w:rFonts w:hint="eastAsia" w:ascii="宋体" w:hAnsi="宋体"/>
                <w:szCs w:val="21"/>
                <w:lang w:val="en-US" w:eastAsia="zh-CN"/>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64" w:hRule="atLeast"/>
        </w:trPr>
        <w:tc>
          <w:tcPr>
            <w:tcW w:w="429" w:type="pct"/>
            <w:vMerge w:val="continue"/>
            <w:tcBorders>
              <w:left w:val="single" w:color="auto" w:sz="4" w:space="0"/>
              <w:bottom w:val="single" w:color="000000" w:sz="4" w:space="0"/>
              <w:right w:val="single" w:color="auto" w:sz="4" w:space="0"/>
            </w:tcBorders>
            <w:vAlign w:val="center"/>
          </w:tcPr>
          <w:p>
            <w:pPr>
              <w:autoSpaceDE w:val="0"/>
              <w:autoSpaceDN w:val="0"/>
              <w:adjustRightInd w:val="0"/>
              <w:spacing w:before="50" w:line="276" w:lineRule="auto"/>
              <w:ind w:left="59" w:leftChars="28" w:right="96" w:firstLine="4" w:firstLineChars="2"/>
              <w:jc w:val="center"/>
              <w:rPr>
                <w:rFonts w:ascii="宋体" w:hAnsi="宋体" w:eastAsia="宋体" w:cs="宋体"/>
                <w:kern w:val="0"/>
                <w:szCs w:val="21"/>
              </w:rPr>
            </w:pPr>
          </w:p>
        </w:tc>
        <w:tc>
          <w:tcPr>
            <w:tcW w:w="624" w:type="pct"/>
            <w:vMerge w:val="continue"/>
            <w:tcBorders>
              <w:left w:val="single" w:color="auto" w:sz="4" w:space="0"/>
              <w:bottom w:val="single" w:color="000000" w:sz="4" w:space="0"/>
              <w:right w:val="single" w:color="auto" w:sz="4" w:space="0"/>
            </w:tcBorders>
            <w:vAlign w:val="center"/>
          </w:tcPr>
          <w:p>
            <w:pPr>
              <w:autoSpaceDE w:val="0"/>
              <w:autoSpaceDN w:val="0"/>
              <w:adjustRightInd w:val="0"/>
              <w:spacing w:before="50" w:line="276" w:lineRule="auto"/>
              <w:ind w:left="59" w:leftChars="28" w:right="97" w:firstLine="4" w:firstLineChars="2"/>
              <w:rPr>
                <w:rFonts w:ascii="宋体" w:hAnsi="宋体" w:eastAsia="宋体" w:cs="宋体"/>
                <w:kern w:val="0"/>
                <w:szCs w:val="21"/>
              </w:rPr>
            </w:pPr>
          </w:p>
        </w:tc>
        <w:tc>
          <w:tcPr>
            <w:tcW w:w="3945" w:type="pct"/>
            <w:gridSpan w:val="7"/>
            <w:tcBorders>
              <w:top w:val="single" w:color="000000" w:sz="4" w:space="0"/>
              <w:left w:val="single" w:color="auto" w:sz="4" w:space="0"/>
              <w:bottom w:val="single" w:color="000000" w:sz="4" w:space="0"/>
              <w:right w:val="single" w:color="000000" w:sz="4" w:space="0"/>
            </w:tcBorders>
            <w:vAlign w:val="center"/>
          </w:tcPr>
          <w:p>
            <w:pPr>
              <w:pStyle w:val="2"/>
              <w:spacing w:line="276" w:lineRule="auto"/>
              <w:ind w:firstLine="105" w:firstLineChars="50"/>
              <w:rPr>
                <w:rFonts w:hAnsi="宋体"/>
                <w:color w:val="auto"/>
                <w:sz w:val="21"/>
                <w:szCs w:val="21"/>
              </w:rPr>
            </w:pPr>
            <w:r>
              <w:rPr>
                <w:rFonts w:hint="eastAsia" w:ascii="宋体" w:hAnsi="宋体" w:eastAsiaTheme="minorEastAsia" w:cstheme="minorBidi"/>
                <w:color w:val="auto"/>
                <w:kern w:val="2"/>
                <w:sz w:val="21"/>
                <w:szCs w:val="21"/>
                <w:lang w:val="en-US" w:eastAsia="zh-CN" w:bidi="ar-SA"/>
              </w:rPr>
              <w:t>施工组织设计中每项编制内容应符合国家、省市相关规范、标准、规定等要求，符合项目实际情况；评委根据详实情况及合理性，依据评分标准打分，缺项不得分。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2" w:hRule="atLeast"/>
        </w:trPr>
        <w:tc>
          <w:tcPr>
            <w:tcW w:w="429" w:type="pct"/>
            <w:vMerge w:val="restart"/>
            <w:tcBorders>
              <w:top w:val="single" w:color="000000" w:sz="4" w:space="0"/>
              <w:left w:val="single" w:color="auto" w:sz="4" w:space="0"/>
              <w:right w:val="single" w:color="auto" w:sz="4" w:space="0"/>
            </w:tcBorders>
            <w:vAlign w:val="center"/>
          </w:tcPr>
          <w:p>
            <w:pPr>
              <w:autoSpaceDE w:val="0"/>
              <w:autoSpaceDN w:val="0"/>
              <w:adjustRightInd w:val="0"/>
              <w:spacing w:before="50" w:line="276" w:lineRule="auto"/>
              <w:ind w:left="59" w:leftChars="28" w:right="96" w:firstLine="4" w:firstLineChars="2"/>
              <w:jc w:val="center"/>
              <w:rPr>
                <w:rFonts w:ascii="宋体" w:hAnsi="宋体" w:eastAsia="宋体" w:cs="宋体"/>
                <w:kern w:val="0"/>
                <w:szCs w:val="21"/>
              </w:rPr>
            </w:pPr>
            <w:r>
              <w:rPr>
                <w:rFonts w:hint="eastAsia" w:ascii="宋体" w:hAnsi="宋体" w:eastAsia="宋体" w:cs="宋体"/>
                <w:kern w:val="0"/>
                <w:szCs w:val="21"/>
              </w:rPr>
              <w:t>2.2.3</w:t>
            </w:r>
          </w:p>
        </w:tc>
        <w:tc>
          <w:tcPr>
            <w:tcW w:w="1549" w:type="pct"/>
            <w:gridSpan w:val="2"/>
            <w:vMerge w:val="restart"/>
            <w:tcBorders>
              <w:top w:val="single" w:color="auto" w:sz="4" w:space="0"/>
              <w:left w:val="single" w:color="auto" w:sz="4" w:space="0"/>
              <w:right w:val="single" w:color="auto" w:sz="4" w:space="0"/>
            </w:tcBorders>
            <w:textDirection w:val="tbRlV"/>
            <w:vAlign w:val="center"/>
          </w:tcPr>
          <w:p>
            <w:pPr>
              <w:pStyle w:val="2"/>
              <w:spacing w:line="240" w:lineRule="auto"/>
              <w:ind w:left="113" w:right="113" w:firstLine="0" w:firstLineChars="0"/>
              <w:jc w:val="center"/>
              <w:rPr>
                <w:rFonts w:hAnsi="宋体"/>
                <w:color w:val="auto"/>
                <w:sz w:val="21"/>
                <w:szCs w:val="21"/>
              </w:rPr>
            </w:pPr>
            <w:r>
              <w:rPr>
                <w:rFonts w:hint="eastAsia" w:ascii="宋体" w:hAnsi="宋体"/>
                <w:sz w:val="22"/>
                <w:szCs w:val="20"/>
              </w:rPr>
              <w:t>综合部分评分标准10分</w:t>
            </w:r>
          </w:p>
        </w:tc>
        <w:tc>
          <w:tcPr>
            <w:tcW w:w="347" w:type="pct"/>
            <w:tcBorders>
              <w:top w:val="single" w:color="000000" w:sz="4" w:space="0"/>
              <w:left w:val="single" w:color="auto" w:sz="4" w:space="0"/>
              <w:bottom w:val="single" w:color="000000" w:sz="4" w:space="0"/>
              <w:right w:val="single" w:color="000000" w:sz="4" w:space="0"/>
            </w:tcBorders>
            <w:vAlign w:val="center"/>
          </w:tcPr>
          <w:p>
            <w:pPr>
              <w:jc w:val="center"/>
              <w:rPr>
                <w:rFonts w:hAnsi="宋体"/>
                <w:color w:val="auto"/>
                <w:sz w:val="21"/>
                <w:szCs w:val="21"/>
              </w:rPr>
            </w:pPr>
            <w:r>
              <w:rPr>
                <w:rFonts w:hint="eastAsia" w:ascii="宋体" w:hAnsi="宋体"/>
                <w:bCs/>
                <w:color w:val="000000"/>
                <w:szCs w:val="21"/>
              </w:rPr>
              <w:t>序号</w:t>
            </w:r>
          </w:p>
        </w:tc>
        <w:tc>
          <w:tcPr>
            <w:tcW w:w="574" w:type="pct"/>
            <w:gridSpan w:val="2"/>
            <w:tcBorders>
              <w:top w:val="single" w:color="000000" w:sz="4" w:space="0"/>
              <w:left w:val="single" w:color="auto" w:sz="4" w:space="0"/>
              <w:bottom w:val="single" w:color="000000" w:sz="4" w:space="0"/>
              <w:right w:val="single" w:color="000000" w:sz="4" w:space="0"/>
            </w:tcBorders>
            <w:vAlign w:val="center"/>
          </w:tcPr>
          <w:p>
            <w:pPr>
              <w:jc w:val="center"/>
              <w:rPr>
                <w:rFonts w:hAnsi="宋体"/>
                <w:color w:val="auto"/>
                <w:sz w:val="21"/>
                <w:szCs w:val="21"/>
              </w:rPr>
            </w:pPr>
            <w:r>
              <w:rPr>
                <w:rFonts w:hint="eastAsia" w:ascii="宋体" w:hAnsi="宋体"/>
                <w:szCs w:val="21"/>
              </w:rPr>
              <w:t>评分因素</w:t>
            </w:r>
          </w:p>
        </w:tc>
        <w:tc>
          <w:tcPr>
            <w:tcW w:w="1334" w:type="pct"/>
            <w:tcBorders>
              <w:top w:val="single" w:color="000000" w:sz="4" w:space="0"/>
              <w:left w:val="single" w:color="auto" w:sz="4" w:space="0"/>
              <w:bottom w:val="single" w:color="000000" w:sz="4" w:space="0"/>
              <w:right w:val="single" w:color="000000" w:sz="4" w:space="0"/>
            </w:tcBorders>
            <w:vAlign w:val="center"/>
          </w:tcPr>
          <w:p>
            <w:pPr>
              <w:spacing w:line="240" w:lineRule="auto"/>
              <w:rPr>
                <w:rFonts w:hint="eastAsia" w:ascii="宋体" w:hAnsi="宋体"/>
                <w:szCs w:val="21"/>
              </w:rPr>
            </w:pPr>
            <w:r>
              <w:rPr>
                <w:rFonts w:hint="eastAsia" w:ascii="宋体" w:hAnsi="宋体"/>
                <w:szCs w:val="21"/>
              </w:rPr>
              <w:t>评审规则</w:t>
            </w:r>
          </w:p>
        </w:tc>
        <w:tc>
          <w:tcPr>
            <w:tcW w:w="764" w:type="pct"/>
            <w:gridSpan w:val="2"/>
            <w:tcBorders>
              <w:top w:val="single" w:color="000000" w:sz="4" w:space="0"/>
              <w:left w:val="single" w:color="auto" w:sz="4" w:space="0"/>
              <w:bottom w:val="single" w:color="000000" w:sz="4" w:space="0"/>
              <w:right w:val="single" w:color="000000" w:sz="4" w:space="0"/>
            </w:tcBorders>
            <w:vAlign w:val="center"/>
          </w:tcPr>
          <w:p>
            <w:pPr>
              <w:jc w:val="center"/>
              <w:rPr>
                <w:rFonts w:hAnsi="宋体"/>
                <w:color w:val="auto"/>
                <w:sz w:val="21"/>
                <w:szCs w:val="21"/>
              </w:rPr>
            </w:pPr>
            <w:r>
              <w:rPr>
                <w:rFonts w:hint="eastAsia" w:ascii="宋体" w:hAnsi="宋体"/>
                <w:bCs/>
                <w:color w:val="000000"/>
                <w:szCs w:val="21"/>
              </w:rPr>
              <w:t>分值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84" w:hRule="atLeast"/>
        </w:trPr>
        <w:tc>
          <w:tcPr>
            <w:tcW w:w="429" w:type="pct"/>
            <w:vMerge w:val="continue"/>
            <w:tcBorders>
              <w:left w:val="single" w:color="auto" w:sz="4" w:space="0"/>
              <w:right w:val="single" w:color="auto" w:sz="4" w:space="0"/>
            </w:tcBorders>
            <w:vAlign w:val="center"/>
          </w:tcPr>
          <w:p>
            <w:pPr>
              <w:pStyle w:val="2"/>
              <w:spacing w:line="276" w:lineRule="auto"/>
              <w:ind w:firstLine="120" w:firstLineChars="50"/>
            </w:pPr>
          </w:p>
        </w:tc>
        <w:tc>
          <w:tcPr>
            <w:tcW w:w="1549" w:type="pct"/>
            <w:gridSpan w:val="2"/>
            <w:vMerge w:val="continue"/>
            <w:tcBorders>
              <w:left w:val="single" w:color="auto" w:sz="4" w:space="0"/>
              <w:right w:val="single" w:color="auto" w:sz="4" w:space="0"/>
            </w:tcBorders>
            <w:vAlign w:val="center"/>
          </w:tcPr>
          <w:p>
            <w:pPr>
              <w:pStyle w:val="2"/>
              <w:spacing w:line="276" w:lineRule="auto"/>
              <w:ind w:firstLine="120" w:firstLineChars="50"/>
            </w:pPr>
          </w:p>
        </w:tc>
        <w:tc>
          <w:tcPr>
            <w:tcW w:w="347" w:type="pct"/>
            <w:vMerge w:val="restart"/>
            <w:tcBorders>
              <w:top w:val="single" w:color="000000" w:sz="4" w:space="0"/>
              <w:left w:val="single" w:color="auto" w:sz="4" w:space="0"/>
              <w:right w:val="single" w:color="000000" w:sz="4" w:space="0"/>
            </w:tcBorders>
            <w:vAlign w:val="center"/>
          </w:tcPr>
          <w:p>
            <w:pPr>
              <w:jc w:val="center"/>
              <w:rPr>
                <w:rFonts w:hAnsi="宋体"/>
                <w:color w:val="auto"/>
                <w:sz w:val="21"/>
                <w:szCs w:val="21"/>
              </w:rPr>
            </w:pPr>
            <w:r>
              <w:rPr>
                <w:rFonts w:hint="eastAsia" w:ascii="宋体" w:hAnsi="宋体"/>
                <w:szCs w:val="21"/>
              </w:rPr>
              <w:t>1</w:t>
            </w:r>
          </w:p>
        </w:tc>
        <w:tc>
          <w:tcPr>
            <w:tcW w:w="574" w:type="pct"/>
            <w:gridSpan w:val="2"/>
            <w:vMerge w:val="restart"/>
            <w:tcBorders>
              <w:top w:val="single" w:color="000000" w:sz="4" w:space="0"/>
              <w:left w:val="single" w:color="auto" w:sz="4" w:space="0"/>
              <w:right w:val="single" w:color="000000" w:sz="4" w:space="0"/>
            </w:tcBorders>
            <w:vAlign w:val="center"/>
          </w:tcPr>
          <w:p>
            <w:pPr>
              <w:pStyle w:val="2"/>
              <w:spacing w:line="276" w:lineRule="auto"/>
              <w:ind w:firstLine="105" w:firstLineChars="50"/>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应答承诺</w:t>
            </w:r>
          </w:p>
        </w:tc>
        <w:tc>
          <w:tcPr>
            <w:tcW w:w="1334" w:type="pct"/>
            <w:tcBorders>
              <w:top w:val="single" w:color="000000" w:sz="4" w:space="0"/>
              <w:left w:val="single" w:color="auto" w:sz="4" w:space="0"/>
              <w:bottom w:val="single" w:color="000000" w:sz="4" w:space="0"/>
              <w:right w:val="single" w:color="auto" w:sz="4" w:space="0"/>
            </w:tcBorders>
            <w:vAlign w:val="center"/>
          </w:tcPr>
          <w:p>
            <w:pPr>
              <w:spacing w:line="240" w:lineRule="auto"/>
              <w:rPr>
                <w:rFonts w:hint="eastAsia" w:ascii="宋体" w:hAnsi="宋体"/>
                <w:szCs w:val="21"/>
              </w:rPr>
            </w:pPr>
            <w:r>
              <w:rPr>
                <w:rFonts w:hint="eastAsia" w:ascii="宋体" w:hAnsi="宋体"/>
                <w:szCs w:val="21"/>
              </w:rPr>
              <w:t>拟配项目部成员未经业主许可不得更换，项目经理、技术负责人开工到岗，每周在现场工作不少于5天；</w:t>
            </w:r>
            <w:r>
              <w:rPr>
                <w:rFonts w:hint="eastAsia" w:ascii="宋体" w:hAnsi="宋体"/>
                <w:szCs w:val="21"/>
              </w:rPr>
              <w:br w:type="textWrapping"/>
            </w:r>
            <w:r>
              <w:rPr>
                <w:rFonts w:hint="eastAsia" w:ascii="宋体" w:hAnsi="宋体"/>
                <w:szCs w:val="21"/>
              </w:rPr>
              <w:t>以上承诺，合理、可行的得1-</w:t>
            </w:r>
            <w:r>
              <w:rPr>
                <w:rFonts w:hint="eastAsia" w:ascii="宋体" w:hAnsi="宋体"/>
                <w:szCs w:val="21"/>
                <w:lang w:val="en-US" w:eastAsia="zh-CN"/>
              </w:rPr>
              <w:t>3</w:t>
            </w:r>
            <w:r>
              <w:rPr>
                <w:rFonts w:hint="eastAsia" w:ascii="宋体" w:hAnsi="宋体"/>
                <w:szCs w:val="21"/>
              </w:rPr>
              <w:t>分，若无则不得分。</w:t>
            </w:r>
          </w:p>
        </w:tc>
        <w:tc>
          <w:tcPr>
            <w:tcW w:w="764" w:type="pct"/>
            <w:gridSpan w:val="2"/>
            <w:tcBorders>
              <w:top w:val="single" w:color="000000" w:sz="4" w:space="0"/>
              <w:left w:val="single" w:color="auto" w:sz="4" w:space="0"/>
              <w:bottom w:val="single" w:color="000000" w:sz="4" w:space="0"/>
              <w:right w:val="single" w:color="000000" w:sz="4" w:space="0"/>
            </w:tcBorders>
            <w:vAlign w:val="center"/>
          </w:tcPr>
          <w:p>
            <w:pPr>
              <w:jc w:val="center"/>
              <w:rPr>
                <w:rFonts w:hAnsi="宋体"/>
                <w:color w:val="auto"/>
                <w:sz w:val="21"/>
                <w:szCs w:val="21"/>
              </w:rPr>
            </w:pPr>
            <w:r>
              <w:rPr>
                <w:rFonts w:hint="eastAsia" w:ascii="宋体" w:hAnsi="宋体"/>
                <w:szCs w:val="21"/>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169" w:hRule="atLeast"/>
        </w:trPr>
        <w:tc>
          <w:tcPr>
            <w:tcW w:w="429" w:type="pct"/>
            <w:vMerge w:val="continue"/>
            <w:tcBorders>
              <w:left w:val="single" w:color="auto" w:sz="4" w:space="0"/>
              <w:right w:val="single" w:color="auto" w:sz="4" w:space="0"/>
            </w:tcBorders>
            <w:vAlign w:val="center"/>
          </w:tcPr>
          <w:p>
            <w:pPr>
              <w:pStyle w:val="2"/>
              <w:spacing w:line="276" w:lineRule="auto"/>
              <w:ind w:firstLine="120" w:firstLineChars="50"/>
            </w:pPr>
          </w:p>
        </w:tc>
        <w:tc>
          <w:tcPr>
            <w:tcW w:w="1549" w:type="pct"/>
            <w:gridSpan w:val="2"/>
            <w:vMerge w:val="continue"/>
            <w:tcBorders>
              <w:left w:val="single" w:color="auto" w:sz="4" w:space="0"/>
              <w:right w:val="single" w:color="auto" w:sz="4" w:space="0"/>
            </w:tcBorders>
            <w:vAlign w:val="center"/>
          </w:tcPr>
          <w:p>
            <w:pPr>
              <w:pStyle w:val="2"/>
              <w:spacing w:line="276" w:lineRule="auto"/>
              <w:ind w:firstLine="120" w:firstLineChars="50"/>
            </w:pPr>
          </w:p>
        </w:tc>
        <w:tc>
          <w:tcPr>
            <w:tcW w:w="347" w:type="pct"/>
            <w:vMerge w:val="continue"/>
            <w:tcBorders>
              <w:left w:val="single" w:color="auto" w:sz="4" w:space="0"/>
              <w:bottom w:val="single" w:color="000000" w:sz="4" w:space="0"/>
              <w:right w:val="single" w:color="000000" w:sz="4" w:space="0"/>
            </w:tcBorders>
            <w:vAlign w:val="center"/>
          </w:tcPr>
          <w:p>
            <w:pPr>
              <w:pStyle w:val="2"/>
              <w:spacing w:line="276" w:lineRule="auto"/>
              <w:ind w:firstLine="120" w:firstLineChars="50"/>
            </w:pPr>
          </w:p>
        </w:tc>
        <w:tc>
          <w:tcPr>
            <w:tcW w:w="574" w:type="pct"/>
            <w:gridSpan w:val="2"/>
            <w:vMerge w:val="continue"/>
            <w:tcBorders>
              <w:left w:val="single" w:color="auto" w:sz="4" w:space="0"/>
              <w:bottom w:val="single" w:color="000000" w:sz="4" w:space="0"/>
              <w:right w:val="single" w:color="000000" w:sz="4" w:space="0"/>
            </w:tcBorders>
            <w:vAlign w:val="center"/>
          </w:tcPr>
          <w:p>
            <w:pPr>
              <w:pStyle w:val="2"/>
              <w:spacing w:line="276" w:lineRule="auto"/>
              <w:ind w:firstLine="105" w:firstLineChars="50"/>
              <w:rPr>
                <w:rFonts w:hint="eastAsia" w:ascii="宋体" w:hAnsi="宋体" w:eastAsiaTheme="minorEastAsia" w:cstheme="minorBidi"/>
                <w:color w:val="auto"/>
                <w:kern w:val="2"/>
                <w:sz w:val="21"/>
                <w:szCs w:val="21"/>
                <w:lang w:val="en-US" w:eastAsia="zh-CN" w:bidi="ar-SA"/>
              </w:rPr>
            </w:pPr>
          </w:p>
        </w:tc>
        <w:tc>
          <w:tcPr>
            <w:tcW w:w="1334" w:type="pct"/>
            <w:tcBorders>
              <w:top w:val="single" w:color="000000" w:sz="4" w:space="0"/>
              <w:left w:val="single" w:color="auto" w:sz="4" w:space="0"/>
              <w:bottom w:val="single" w:color="000000" w:sz="4" w:space="0"/>
              <w:right w:val="single" w:color="auto" w:sz="4" w:space="0"/>
            </w:tcBorders>
            <w:vAlign w:val="center"/>
          </w:tcPr>
          <w:p>
            <w:pPr>
              <w:spacing w:line="240" w:lineRule="auto"/>
              <w:rPr>
                <w:rFonts w:hint="eastAsia" w:ascii="宋体" w:hAnsi="宋体"/>
                <w:szCs w:val="21"/>
              </w:rPr>
            </w:pPr>
            <w:r>
              <w:rPr>
                <w:rFonts w:hint="eastAsia" w:ascii="宋体" w:hAnsi="宋体"/>
                <w:szCs w:val="21"/>
              </w:rPr>
              <w:t>协调当地政府相关部门及周边居民关系，服从当地政府相关规定，服从建设单位、监理单位，完工后现场无偿清理干净，保修做出具体承诺。以上承诺，合理、可行的得</w:t>
            </w:r>
            <w:r>
              <w:rPr>
                <w:rFonts w:hint="eastAsia" w:ascii="宋体" w:hAnsi="宋体"/>
                <w:szCs w:val="21"/>
                <w:lang w:eastAsia="zh-CN"/>
              </w:rPr>
              <w:t>1-</w:t>
            </w:r>
            <w:r>
              <w:rPr>
                <w:rFonts w:hint="eastAsia" w:ascii="宋体" w:hAnsi="宋体"/>
                <w:szCs w:val="21"/>
                <w:lang w:val="en-US" w:eastAsia="zh-CN"/>
              </w:rPr>
              <w:t>3</w:t>
            </w:r>
            <w:r>
              <w:rPr>
                <w:rFonts w:hint="eastAsia" w:ascii="宋体" w:hAnsi="宋体"/>
                <w:szCs w:val="21"/>
                <w:lang w:eastAsia="zh-CN"/>
              </w:rPr>
              <w:t>分</w:t>
            </w:r>
            <w:r>
              <w:rPr>
                <w:rFonts w:hint="eastAsia" w:ascii="宋体" w:hAnsi="宋体"/>
                <w:szCs w:val="21"/>
              </w:rPr>
              <w:t>，若无则不得分。</w:t>
            </w:r>
          </w:p>
        </w:tc>
        <w:tc>
          <w:tcPr>
            <w:tcW w:w="764" w:type="pct"/>
            <w:gridSpan w:val="2"/>
            <w:tcBorders>
              <w:top w:val="single" w:color="000000" w:sz="4" w:space="0"/>
              <w:left w:val="single" w:color="auto" w:sz="4" w:space="0"/>
              <w:bottom w:val="single" w:color="000000" w:sz="4" w:space="0"/>
              <w:right w:val="single" w:color="000000" w:sz="4" w:space="0"/>
            </w:tcBorders>
            <w:vAlign w:val="center"/>
          </w:tcPr>
          <w:p>
            <w:pPr>
              <w:jc w:val="center"/>
              <w:rPr>
                <w:rFonts w:hAnsi="宋体"/>
                <w:color w:val="auto"/>
                <w:sz w:val="21"/>
                <w:szCs w:val="21"/>
              </w:rPr>
            </w:pPr>
            <w:r>
              <w:rPr>
                <w:rFonts w:hint="eastAsia" w:ascii="宋体" w:hAnsi="宋体"/>
                <w:szCs w:val="21"/>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54" w:hRule="atLeast"/>
        </w:trPr>
        <w:tc>
          <w:tcPr>
            <w:tcW w:w="429" w:type="pct"/>
            <w:vMerge w:val="continue"/>
            <w:tcBorders>
              <w:left w:val="single" w:color="auto" w:sz="4" w:space="0"/>
              <w:right w:val="single" w:color="auto" w:sz="4" w:space="0"/>
            </w:tcBorders>
            <w:vAlign w:val="center"/>
          </w:tcPr>
          <w:p>
            <w:pPr>
              <w:pStyle w:val="2"/>
              <w:spacing w:line="276" w:lineRule="auto"/>
              <w:ind w:firstLine="105" w:firstLineChars="50"/>
              <w:rPr>
                <w:rFonts w:hAnsi="宋体"/>
                <w:color w:val="auto"/>
                <w:sz w:val="21"/>
                <w:szCs w:val="21"/>
              </w:rPr>
            </w:pPr>
          </w:p>
        </w:tc>
        <w:tc>
          <w:tcPr>
            <w:tcW w:w="1549" w:type="pct"/>
            <w:gridSpan w:val="2"/>
            <w:vMerge w:val="continue"/>
            <w:tcBorders>
              <w:left w:val="single" w:color="auto" w:sz="4" w:space="0"/>
              <w:bottom w:val="single" w:color="auto" w:sz="4" w:space="0"/>
              <w:right w:val="single" w:color="auto" w:sz="4" w:space="0"/>
            </w:tcBorders>
            <w:vAlign w:val="center"/>
          </w:tcPr>
          <w:p>
            <w:pPr>
              <w:pStyle w:val="2"/>
              <w:spacing w:line="276" w:lineRule="auto"/>
              <w:ind w:firstLine="105" w:firstLineChars="50"/>
              <w:rPr>
                <w:rFonts w:hAnsi="宋体"/>
                <w:color w:val="auto"/>
                <w:sz w:val="21"/>
                <w:szCs w:val="21"/>
              </w:rPr>
            </w:pPr>
          </w:p>
        </w:tc>
        <w:tc>
          <w:tcPr>
            <w:tcW w:w="347" w:type="pct"/>
            <w:tcBorders>
              <w:top w:val="single" w:color="000000" w:sz="4" w:space="0"/>
              <w:left w:val="single" w:color="auto" w:sz="4" w:space="0"/>
              <w:bottom w:val="single" w:color="000000" w:sz="4" w:space="0"/>
              <w:right w:val="single" w:color="000000" w:sz="4" w:space="0"/>
            </w:tcBorders>
            <w:vAlign w:val="center"/>
          </w:tcPr>
          <w:p>
            <w:pPr>
              <w:jc w:val="center"/>
              <w:rPr>
                <w:rFonts w:hAnsi="宋体"/>
                <w:color w:val="auto"/>
                <w:sz w:val="21"/>
                <w:szCs w:val="21"/>
              </w:rPr>
            </w:pPr>
            <w:r>
              <w:rPr>
                <w:rFonts w:hint="eastAsia" w:ascii="宋体" w:hAnsi="宋体"/>
                <w:szCs w:val="21"/>
              </w:rPr>
              <w:t>2</w:t>
            </w:r>
          </w:p>
        </w:tc>
        <w:tc>
          <w:tcPr>
            <w:tcW w:w="574" w:type="pct"/>
            <w:gridSpan w:val="2"/>
            <w:tcBorders>
              <w:top w:val="single" w:color="000000" w:sz="4" w:space="0"/>
              <w:left w:val="single" w:color="auto" w:sz="4" w:space="0"/>
              <w:bottom w:val="single" w:color="000000" w:sz="4" w:space="0"/>
              <w:right w:val="single" w:color="000000" w:sz="4" w:space="0"/>
            </w:tcBorders>
            <w:vAlign w:val="center"/>
          </w:tcPr>
          <w:p>
            <w:pPr>
              <w:pStyle w:val="2"/>
              <w:spacing w:line="276" w:lineRule="auto"/>
              <w:ind w:firstLine="105" w:firstLineChars="50"/>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业绩得      分</w:t>
            </w:r>
          </w:p>
        </w:tc>
        <w:tc>
          <w:tcPr>
            <w:tcW w:w="1334" w:type="pct"/>
            <w:tcBorders>
              <w:top w:val="single" w:color="000000" w:sz="4" w:space="0"/>
              <w:left w:val="single" w:color="auto" w:sz="4" w:space="0"/>
              <w:bottom w:val="single" w:color="000000" w:sz="4" w:space="0"/>
              <w:right w:val="single" w:color="000000" w:sz="4" w:space="0"/>
            </w:tcBorders>
            <w:vAlign w:val="center"/>
          </w:tcPr>
          <w:p>
            <w:pPr>
              <w:pStyle w:val="2"/>
              <w:spacing w:line="276" w:lineRule="auto"/>
              <w:ind w:firstLine="105" w:firstLineChars="50"/>
              <w:rPr>
                <w:rFonts w:hAnsi="宋体"/>
                <w:color w:val="auto"/>
                <w:sz w:val="21"/>
                <w:szCs w:val="21"/>
              </w:rPr>
            </w:pPr>
            <w:r>
              <w:rPr>
                <w:rFonts w:hint="eastAsia" w:ascii="宋体" w:hAnsi="宋体" w:eastAsiaTheme="minorEastAsia" w:cstheme="minorBidi"/>
                <w:color w:val="auto"/>
                <w:kern w:val="2"/>
                <w:sz w:val="21"/>
                <w:szCs w:val="21"/>
                <w:lang w:val="en-US" w:eastAsia="zh-CN" w:bidi="ar-SA"/>
              </w:rPr>
              <w:t>投标人提供2017年1月1日至开标当日已完成或已结算完成的类似工程业绩合同（以合同或订单签订日期为准，非框架协议）</w:t>
            </w:r>
            <w:r>
              <w:rPr>
                <w:rFonts w:hint="eastAsia" w:ascii="宋体" w:hAnsi="宋体"/>
                <w:szCs w:val="21"/>
              </w:rPr>
              <w:t>，</w:t>
            </w:r>
            <w:r>
              <w:rPr>
                <w:rFonts w:hint="eastAsia" w:ascii="宋体" w:hAnsi="宋体" w:eastAsiaTheme="minorEastAsia" w:cstheme="minorBidi"/>
                <w:color w:val="auto"/>
                <w:kern w:val="2"/>
                <w:sz w:val="21"/>
                <w:szCs w:val="21"/>
                <w:lang w:val="en-US" w:eastAsia="zh-CN" w:bidi="ar-SA"/>
              </w:rPr>
              <w:t>项</w:t>
            </w:r>
            <w:r>
              <w:rPr>
                <w:rFonts w:hint="eastAsia" w:ascii="宋体" w:hAnsi="宋体"/>
                <w:sz w:val="22"/>
                <w:szCs w:val="20"/>
                <w:lang w:val="en-US" w:eastAsia="zh-CN"/>
              </w:rPr>
              <w:t>单</w:t>
            </w:r>
            <w:r>
              <w:rPr>
                <w:rFonts w:hint="eastAsia" w:ascii="宋体" w:hAnsi="宋体" w:eastAsiaTheme="minorEastAsia" w:cstheme="minorBidi"/>
                <w:color w:val="auto"/>
                <w:kern w:val="2"/>
                <w:sz w:val="21"/>
                <w:szCs w:val="21"/>
                <w:lang w:val="en-US" w:eastAsia="zh-CN" w:bidi="ar-SA"/>
              </w:rPr>
              <w:t>业绩合同金额达到300万元得基本分2分，每增加一项业绩加1分，最多加2分。</w:t>
            </w:r>
          </w:p>
        </w:tc>
        <w:tc>
          <w:tcPr>
            <w:tcW w:w="764" w:type="pct"/>
            <w:gridSpan w:val="2"/>
            <w:tcBorders>
              <w:top w:val="single" w:color="000000" w:sz="4" w:space="0"/>
              <w:left w:val="single" w:color="auto" w:sz="4" w:space="0"/>
              <w:bottom w:val="single" w:color="000000" w:sz="4" w:space="0"/>
              <w:right w:val="single" w:color="000000" w:sz="4" w:space="0"/>
            </w:tcBorders>
            <w:vAlign w:val="center"/>
          </w:tcPr>
          <w:p>
            <w:pPr>
              <w:pStyle w:val="2"/>
              <w:spacing w:line="276" w:lineRule="auto"/>
              <w:ind w:firstLine="525" w:firstLineChars="250"/>
              <w:rPr>
                <w:rFonts w:hint="eastAsia" w:hAnsi="宋体" w:eastAsia="宋体"/>
                <w:color w:val="auto"/>
                <w:sz w:val="21"/>
                <w:szCs w:val="21"/>
                <w:lang w:val="en-US" w:eastAsia="zh-CN"/>
              </w:rPr>
            </w:pPr>
            <w:r>
              <w:rPr>
                <w:rFonts w:hint="eastAsia" w:hAnsi="宋体"/>
                <w:color w:val="auto"/>
                <w:sz w:val="21"/>
                <w:szCs w:val="21"/>
                <w:lang w:val="en-US" w:eastAsia="zh-CN"/>
              </w:rPr>
              <w:t>4</w:t>
            </w:r>
          </w:p>
        </w:tc>
      </w:tr>
    </w:tbl>
    <w:p>
      <w:pPr>
        <w:rPr>
          <w:rFonts w:asciiTheme="minorEastAsia" w:hAnsiTheme="minorEastAsia"/>
        </w:rPr>
      </w:pPr>
    </w:p>
    <w:p>
      <w:pPr>
        <w:pStyle w:val="172"/>
        <w:numPr>
          <w:ilvl w:val="0"/>
          <w:numId w:val="4"/>
        </w:numPr>
        <w:ind w:firstLineChars="0"/>
      </w:pPr>
      <w:bookmarkStart w:id="34" w:name="_Toc11154787"/>
      <w:r>
        <w:rPr>
          <w:rFonts w:hint="eastAsia"/>
        </w:rPr>
        <w:t>评审方法</w:t>
      </w:r>
      <w:bookmarkEnd w:id="34"/>
    </w:p>
    <w:p>
      <w:pPr>
        <w:spacing w:line="360" w:lineRule="auto"/>
        <w:ind w:firstLine="424" w:firstLineChars="202"/>
        <w:rPr>
          <w:rFonts w:asciiTheme="minorEastAsia" w:hAnsiTheme="minorEastAsia"/>
        </w:rPr>
      </w:pPr>
      <w:r>
        <w:rPr>
          <w:rFonts w:hint="eastAsia"/>
        </w:rPr>
        <w:t>本次评审采用综合评分法。磋商小组对满足磋商文件实质性要求的响应文件，按照本章规定的评分标准进行打分，并按得分由高到低顺序推荐成交候选人，综合评分相等时，以报价得分高的优先；报价得分也相等的，由采购人自行确定。</w:t>
      </w:r>
    </w:p>
    <w:p>
      <w:pPr>
        <w:spacing w:line="360" w:lineRule="auto"/>
        <w:rPr>
          <w:rFonts w:asciiTheme="minorEastAsia" w:hAnsiTheme="minorEastAsia"/>
        </w:rPr>
      </w:pPr>
      <w:r>
        <w:rPr>
          <w:rFonts w:hint="eastAsia" w:asciiTheme="minorEastAsia" w:hAnsiTheme="minorEastAsia"/>
        </w:rPr>
        <w:t>2. 评审标准</w:t>
      </w:r>
    </w:p>
    <w:p>
      <w:pPr>
        <w:spacing w:line="360" w:lineRule="auto"/>
        <w:ind w:firstLine="424" w:firstLineChars="202"/>
        <w:rPr>
          <w:rFonts w:asciiTheme="minorEastAsia" w:hAnsiTheme="minorEastAsia"/>
        </w:rPr>
      </w:pPr>
      <w:r>
        <w:rPr>
          <w:rFonts w:hint="eastAsia" w:asciiTheme="minorEastAsia" w:hAnsiTheme="minorEastAsia"/>
        </w:rPr>
        <w:t>2.1 初步评审标准</w:t>
      </w:r>
    </w:p>
    <w:p>
      <w:pPr>
        <w:spacing w:line="360" w:lineRule="auto"/>
        <w:ind w:firstLine="424" w:firstLineChars="202"/>
        <w:rPr>
          <w:rFonts w:asciiTheme="minorEastAsia" w:hAnsiTheme="minorEastAsia"/>
        </w:rPr>
      </w:pPr>
      <w:r>
        <w:rPr>
          <w:rFonts w:hint="eastAsia" w:asciiTheme="minorEastAsia" w:hAnsiTheme="minorEastAsia"/>
        </w:rPr>
        <w:t>2.1.1 形式检查评审标准：见评审办法前附表。</w:t>
      </w:r>
    </w:p>
    <w:p>
      <w:pPr>
        <w:spacing w:line="360" w:lineRule="auto"/>
        <w:ind w:firstLine="424" w:firstLineChars="202"/>
        <w:rPr>
          <w:rFonts w:asciiTheme="minorEastAsia" w:hAnsiTheme="minorEastAsia"/>
        </w:rPr>
      </w:pPr>
      <w:r>
        <w:rPr>
          <w:rFonts w:hint="eastAsia" w:asciiTheme="minorEastAsia" w:hAnsiTheme="minorEastAsia"/>
        </w:rPr>
        <w:t>2.1.2 资格性检查评审标准：见评审办法前附表。</w:t>
      </w:r>
    </w:p>
    <w:p>
      <w:pPr>
        <w:spacing w:line="360" w:lineRule="auto"/>
        <w:ind w:firstLine="424" w:firstLineChars="202"/>
        <w:rPr>
          <w:rFonts w:asciiTheme="minorEastAsia" w:hAnsiTheme="minorEastAsia"/>
        </w:rPr>
      </w:pPr>
      <w:r>
        <w:rPr>
          <w:rFonts w:hint="eastAsia" w:asciiTheme="minorEastAsia" w:hAnsiTheme="minorEastAsia"/>
        </w:rPr>
        <w:t>2.1.3 响应性检查评审标准：见评审办法前附表。</w:t>
      </w:r>
    </w:p>
    <w:p>
      <w:pPr>
        <w:spacing w:line="360" w:lineRule="auto"/>
        <w:ind w:firstLine="424" w:firstLineChars="202"/>
        <w:rPr>
          <w:rFonts w:asciiTheme="minorEastAsia" w:hAnsiTheme="minorEastAsia"/>
        </w:rPr>
      </w:pPr>
      <w:r>
        <w:rPr>
          <w:rFonts w:hint="eastAsia" w:asciiTheme="minorEastAsia" w:hAnsiTheme="minorEastAsia"/>
        </w:rPr>
        <w:t>2.2 分值构成与评分标准</w:t>
      </w:r>
    </w:p>
    <w:p>
      <w:pPr>
        <w:spacing w:line="360" w:lineRule="auto"/>
        <w:ind w:firstLine="424" w:firstLineChars="202"/>
        <w:rPr>
          <w:rFonts w:asciiTheme="minorEastAsia" w:hAnsiTheme="minorEastAsia"/>
        </w:rPr>
      </w:pPr>
      <w:r>
        <w:rPr>
          <w:rFonts w:hint="eastAsia" w:asciiTheme="minorEastAsia" w:hAnsiTheme="minorEastAsia"/>
        </w:rPr>
        <w:t>（1）最后磋商报价：见评审办法前附表</w:t>
      </w:r>
    </w:p>
    <w:p>
      <w:pPr>
        <w:spacing w:line="360" w:lineRule="auto"/>
        <w:ind w:firstLine="424" w:firstLineChars="202"/>
        <w:rPr>
          <w:rFonts w:asciiTheme="minorEastAsia" w:hAnsiTheme="minorEastAsia"/>
        </w:rPr>
      </w:pPr>
      <w:r>
        <w:rPr>
          <w:rFonts w:hint="eastAsia" w:asciiTheme="minorEastAsia" w:hAnsiTheme="minorEastAsia"/>
        </w:rPr>
        <w:t>（2）施工组织设计：见评审办法前附表；</w:t>
      </w:r>
    </w:p>
    <w:p>
      <w:pPr>
        <w:spacing w:line="360" w:lineRule="auto"/>
        <w:ind w:firstLine="424" w:firstLineChars="202"/>
        <w:rPr>
          <w:rFonts w:asciiTheme="minorEastAsia" w:hAnsiTheme="minorEastAsia"/>
        </w:rPr>
      </w:pPr>
      <w:r>
        <w:rPr>
          <w:rFonts w:hint="eastAsia" w:asciiTheme="minorEastAsia" w:hAnsiTheme="minorEastAsia"/>
        </w:rPr>
        <w:t>（3）项目管理机构及保证措施：见评审办法前附表；</w:t>
      </w:r>
    </w:p>
    <w:p>
      <w:pPr>
        <w:spacing w:line="360" w:lineRule="auto"/>
        <w:ind w:firstLine="424" w:firstLineChars="202"/>
        <w:rPr>
          <w:rFonts w:asciiTheme="minorEastAsia" w:hAnsiTheme="minorEastAsia"/>
        </w:rPr>
      </w:pPr>
      <w:r>
        <w:rPr>
          <w:rFonts w:hint="eastAsia" w:asciiTheme="minorEastAsia" w:hAnsiTheme="minorEastAsia"/>
        </w:rPr>
        <w:t>（4）业绩：见评审办法前附表；</w:t>
      </w:r>
    </w:p>
    <w:p>
      <w:pPr>
        <w:spacing w:line="360" w:lineRule="auto"/>
        <w:ind w:firstLine="424" w:firstLineChars="202"/>
        <w:rPr>
          <w:rFonts w:asciiTheme="minorEastAsia" w:hAnsiTheme="minorEastAsia"/>
        </w:rPr>
      </w:pPr>
      <w:r>
        <w:rPr>
          <w:rFonts w:hint="eastAsia" w:asciiTheme="minorEastAsia" w:hAnsiTheme="minorEastAsia"/>
        </w:rPr>
        <w:t>（5）其他因素：见评审办法前附表；</w:t>
      </w:r>
    </w:p>
    <w:p>
      <w:pPr>
        <w:spacing w:line="360" w:lineRule="auto"/>
        <w:rPr>
          <w:rFonts w:asciiTheme="minorEastAsia" w:hAnsiTheme="minorEastAsia"/>
        </w:rPr>
      </w:pPr>
      <w:r>
        <w:rPr>
          <w:rFonts w:hint="eastAsia" w:asciiTheme="minorEastAsia" w:hAnsiTheme="minorEastAsia"/>
        </w:rPr>
        <w:t>3. 评审程序</w:t>
      </w:r>
    </w:p>
    <w:p>
      <w:pPr>
        <w:spacing w:line="360" w:lineRule="auto"/>
        <w:ind w:firstLine="424" w:firstLineChars="202"/>
        <w:rPr>
          <w:rFonts w:asciiTheme="minorEastAsia" w:hAnsiTheme="minorEastAsia"/>
        </w:rPr>
      </w:pPr>
      <w:r>
        <w:rPr>
          <w:rFonts w:hint="eastAsia" w:asciiTheme="minorEastAsia" w:hAnsiTheme="minorEastAsia"/>
        </w:rPr>
        <w:t>3.1 初步评审</w:t>
      </w:r>
    </w:p>
    <w:p>
      <w:pPr>
        <w:spacing w:line="360" w:lineRule="auto"/>
        <w:ind w:firstLine="424" w:firstLineChars="202"/>
        <w:rPr>
          <w:rFonts w:asciiTheme="minorEastAsia" w:hAnsiTheme="minorEastAsia"/>
        </w:rPr>
      </w:pPr>
      <w:r>
        <w:rPr>
          <w:rFonts w:hint="eastAsia" w:asciiTheme="minorEastAsia" w:hAnsiTheme="minorEastAsia"/>
        </w:rPr>
        <w:t>3.1.1 磋商小组依据本章第2.1款规定的标准对响应文件进行初步评审。有一项不符合评审标准的，作废标处理。</w:t>
      </w:r>
    </w:p>
    <w:p>
      <w:pPr>
        <w:spacing w:line="360" w:lineRule="auto"/>
        <w:ind w:firstLine="424" w:firstLineChars="202"/>
        <w:rPr>
          <w:rFonts w:asciiTheme="minorEastAsia" w:hAnsiTheme="minorEastAsia"/>
        </w:rPr>
      </w:pPr>
      <w:r>
        <w:rPr>
          <w:rFonts w:hint="eastAsia" w:asciiTheme="minorEastAsia" w:hAnsiTheme="minorEastAsia"/>
        </w:rPr>
        <w:t xml:space="preserve">3.1.2 </w:t>
      </w:r>
      <w:r>
        <w:rPr>
          <w:rFonts w:hint="eastAsia" w:asciiTheme="minorEastAsia" w:hAnsiTheme="minorEastAsia"/>
          <w:lang w:eastAsia="zh-CN"/>
        </w:rPr>
        <w:t>响应人</w:t>
      </w:r>
      <w:r>
        <w:rPr>
          <w:rFonts w:hint="eastAsia" w:asciiTheme="minorEastAsia" w:hAnsiTheme="minorEastAsia"/>
        </w:rPr>
        <w:t>有以下情形之一的，其响应文件作无效响应处理：</w:t>
      </w:r>
    </w:p>
    <w:p>
      <w:pPr>
        <w:spacing w:line="360" w:lineRule="auto"/>
        <w:ind w:firstLine="424" w:firstLineChars="202"/>
        <w:rPr>
          <w:rFonts w:asciiTheme="minorEastAsia" w:hAnsiTheme="minorEastAsia"/>
        </w:rPr>
      </w:pPr>
      <w:r>
        <w:rPr>
          <w:rFonts w:hint="eastAsia" w:asciiTheme="minorEastAsia" w:hAnsiTheme="minorEastAsia"/>
        </w:rPr>
        <w:t>（1）未按照竞争性磋商文件规定要求签署、盖章的；</w:t>
      </w:r>
    </w:p>
    <w:p>
      <w:pPr>
        <w:spacing w:line="360" w:lineRule="auto"/>
        <w:ind w:firstLine="424" w:firstLineChars="202"/>
        <w:rPr>
          <w:rFonts w:asciiTheme="minorEastAsia" w:hAnsiTheme="minorEastAsia"/>
        </w:rPr>
      </w:pPr>
      <w:r>
        <w:rPr>
          <w:rFonts w:hint="eastAsia" w:asciiTheme="minorEastAsia" w:hAnsiTheme="minorEastAsia"/>
        </w:rPr>
        <w:t>（2）属于串通投标，或者依法被视为串通投标；</w:t>
      </w:r>
    </w:p>
    <w:p>
      <w:pPr>
        <w:spacing w:line="360" w:lineRule="auto"/>
        <w:ind w:firstLine="424" w:firstLineChars="202"/>
        <w:rPr>
          <w:rFonts w:asciiTheme="minorEastAsia" w:hAnsiTheme="minorEastAsia"/>
        </w:rPr>
      </w:pPr>
      <w:r>
        <w:rPr>
          <w:rFonts w:hint="eastAsia" w:asciiTheme="minorEastAsia" w:hAnsiTheme="minorEastAsia"/>
        </w:rPr>
        <w:t>（3）磋商小组认为</w:t>
      </w:r>
      <w:r>
        <w:rPr>
          <w:rFonts w:hint="eastAsia" w:asciiTheme="minorEastAsia" w:hAnsiTheme="minorEastAsia"/>
          <w:lang w:eastAsia="zh-CN"/>
        </w:rPr>
        <w:t>响应人</w:t>
      </w:r>
      <w:r>
        <w:rPr>
          <w:rFonts w:hint="eastAsia" w:asciiTheme="minorEastAsia" w:hAnsiTheme="minorEastAsia"/>
        </w:rPr>
        <w:t>的报价明显低于其他通过符合性审查</w:t>
      </w:r>
      <w:r>
        <w:rPr>
          <w:rFonts w:hint="eastAsia" w:asciiTheme="minorEastAsia" w:hAnsiTheme="minorEastAsia"/>
          <w:lang w:eastAsia="zh-CN"/>
        </w:rPr>
        <w:t>响应人</w:t>
      </w:r>
      <w:r>
        <w:rPr>
          <w:rFonts w:hint="eastAsia" w:asciiTheme="minorEastAsia" w:hAnsiTheme="minorEastAsia"/>
        </w:rPr>
        <w:t>的报价，有可能影响履约的，且</w:t>
      </w:r>
      <w:r>
        <w:rPr>
          <w:rFonts w:hint="eastAsia" w:asciiTheme="minorEastAsia" w:hAnsiTheme="minorEastAsia"/>
          <w:lang w:eastAsia="zh-CN"/>
        </w:rPr>
        <w:t>响应人</w:t>
      </w:r>
      <w:r>
        <w:rPr>
          <w:rFonts w:hint="eastAsia" w:asciiTheme="minorEastAsia" w:hAnsiTheme="minorEastAsia"/>
        </w:rPr>
        <w:t>未按照规定证明其报价合理性的；</w:t>
      </w:r>
    </w:p>
    <w:p>
      <w:pPr>
        <w:spacing w:line="360" w:lineRule="auto"/>
        <w:ind w:firstLine="424" w:firstLineChars="202"/>
        <w:rPr>
          <w:rFonts w:asciiTheme="minorEastAsia" w:hAnsiTheme="minorEastAsia"/>
        </w:rPr>
      </w:pPr>
      <w:r>
        <w:rPr>
          <w:rFonts w:hint="eastAsia" w:asciiTheme="minorEastAsia" w:hAnsiTheme="minorEastAsia"/>
        </w:rPr>
        <w:t>（4）响应文件含有采购人不能接受的附加条件的；</w:t>
      </w:r>
    </w:p>
    <w:p>
      <w:pPr>
        <w:spacing w:line="360" w:lineRule="auto"/>
        <w:ind w:firstLine="424" w:firstLineChars="202"/>
        <w:rPr>
          <w:rFonts w:asciiTheme="minorEastAsia" w:hAnsiTheme="minorEastAsia"/>
        </w:rPr>
      </w:pPr>
      <w:r>
        <w:rPr>
          <w:rFonts w:hint="eastAsia" w:asciiTheme="minorEastAsia" w:hAnsiTheme="minorEastAsia"/>
        </w:rPr>
        <w:t>（5）响应文件制作机器码与其他</w:t>
      </w:r>
      <w:r>
        <w:rPr>
          <w:rFonts w:hint="eastAsia" w:asciiTheme="minorEastAsia" w:hAnsiTheme="minorEastAsia"/>
          <w:lang w:eastAsia="zh-CN"/>
        </w:rPr>
        <w:t>响应人</w:t>
      </w:r>
      <w:r>
        <w:rPr>
          <w:rFonts w:hint="eastAsia" w:asciiTheme="minorEastAsia" w:hAnsiTheme="minorEastAsia"/>
        </w:rPr>
        <w:t>的响应文件制作机器码一致；</w:t>
      </w:r>
    </w:p>
    <w:p>
      <w:pPr>
        <w:spacing w:line="360" w:lineRule="auto"/>
        <w:ind w:firstLine="424" w:firstLineChars="202"/>
        <w:rPr>
          <w:rFonts w:asciiTheme="minorEastAsia" w:hAnsiTheme="minorEastAsia"/>
        </w:rPr>
      </w:pPr>
      <w:r>
        <w:rPr>
          <w:rFonts w:hint="eastAsia" w:asciiTheme="minorEastAsia" w:hAnsiTheme="minorEastAsia"/>
        </w:rPr>
        <w:t>（6）不符合法规和竞争性磋商文件中规定的其他实质性要求的。</w:t>
      </w:r>
    </w:p>
    <w:p>
      <w:pPr>
        <w:spacing w:line="360" w:lineRule="auto"/>
        <w:ind w:firstLine="424" w:firstLineChars="202"/>
        <w:rPr>
          <w:rFonts w:asciiTheme="minorEastAsia" w:hAnsiTheme="minorEastAsia"/>
        </w:rPr>
      </w:pPr>
      <w:r>
        <w:rPr>
          <w:rFonts w:hint="eastAsia" w:asciiTheme="minorEastAsia" w:hAnsiTheme="minorEastAsia"/>
        </w:rPr>
        <w:t>3.2 详细评审</w:t>
      </w:r>
    </w:p>
    <w:p>
      <w:pPr>
        <w:spacing w:line="360" w:lineRule="auto"/>
        <w:ind w:firstLine="424" w:firstLineChars="202"/>
        <w:rPr>
          <w:rFonts w:asciiTheme="minorEastAsia" w:hAnsiTheme="minorEastAsia"/>
        </w:rPr>
      </w:pPr>
      <w:r>
        <w:rPr>
          <w:rFonts w:hint="eastAsia" w:asciiTheme="minorEastAsia" w:hAnsiTheme="minorEastAsia"/>
        </w:rPr>
        <w:t>3.2.1 磋商小组按本章第2.2款规定的量化因素和分值进行打分，并计算出综合评分得分。</w:t>
      </w:r>
    </w:p>
    <w:p>
      <w:pPr>
        <w:spacing w:line="360" w:lineRule="auto"/>
        <w:ind w:firstLine="424" w:firstLineChars="202"/>
        <w:rPr>
          <w:rFonts w:asciiTheme="minorEastAsia" w:hAnsiTheme="minorEastAsia"/>
        </w:rPr>
      </w:pPr>
      <w:r>
        <w:rPr>
          <w:rFonts w:hint="eastAsia" w:asciiTheme="minorEastAsia" w:hAnsiTheme="minorEastAsia"/>
        </w:rPr>
        <w:t>3.2.2 评分分值计算保留小数点后两位，小数点后第三位“四舍五入”。</w:t>
      </w:r>
    </w:p>
    <w:p>
      <w:pPr>
        <w:spacing w:line="360" w:lineRule="auto"/>
        <w:ind w:firstLine="424" w:firstLineChars="202"/>
        <w:rPr>
          <w:rFonts w:asciiTheme="minorEastAsia" w:hAnsiTheme="minorEastAsia"/>
        </w:rPr>
      </w:pPr>
      <w:r>
        <w:rPr>
          <w:rFonts w:hint="eastAsia" w:asciiTheme="minorEastAsia" w:hAnsiTheme="minorEastAsia"/>
        </w:rPr>
        <w:t>3.2.3</w:t>
      </w:r>
      <w:r>
        <w:rPr>
          <w:rFonts w:hint="eastAsia" w:asciiTheme="minorEastAsia" w:hAnsiTheme="minorEastAsia"/>
          <w:lang w:eastAsia="zh-CN"/>
        </w:rPr>
        <w:t>响应人</w:t>
      </w:r>
      <w:r>
        <w:rPr>
          <w:rFonts w:hint="eastAsia" w:asciiTheme="minorEastAsia" w:hAnsiTheme="minorEastAsia"/>
        </w:rPr>
        <w:t>的最终得分以全部小组成员打分的算术平均值为准，作为该</w:t>
      </w:r>
      <w:r>
        <w:rPr>
          <w:rFonts w:hint="eastAsia" w:asciiTheme="minorEastAsia" w:hAnsiTheme="minorEastAsia"/>
          <w:lang w:eastAsia="zh-CN"/>
        </w:rPr>
        <w:t>响应人</w:t>
      </w:r>
      <w:r>
        <w:rPr>
          <w:rFonts w:hint="eastAsia" w:asciiTheme="minorEastAsia" w:hAnsiTheme="minorEastAsia"/>
        </w:rPr>
        <w:t>的最终得分。</w:t>
      </w:r>
    </w:p>
    <w:p>
      <w:pPr>
        <w:spacing w:line="360" w:lineRule="auto"/>
        <w:ind w:firstLine="424" w:firstLineChars="202"/>
        <w:rPr>
          <w:rFonts w:asciiTheme="minorEastAsia" w:hAnsiTheme="minorEastAsia"/>
        </w:rPr>
      </w:pPr>
      <w:r>
        <w:rPr>
          <w:rFonts w:hint="eastAsia" w:asciiTheme="minorEastAsia" w:hAnsiTheme="minorEastAsia"/>
        </w:rPr>
        <w:t>3.2.4在磋商过程中，凡遇到磋商文件中无界定或界定不清、前后不一致使磋商小组意见有分歧且又难以协商一致的问题，均由磋商小组予以表决，获半数以上同意的即为通过，未获半数同意的即为否决。</w:t>
      </w:r>
    </w:p>
    <w:p>
      <w:pPr>
        <w:spacing w:line="360" w:lineRule="auto"/>
        <w:ind w:firstLine="424" w:firstLineChars="202"/>
        <w:rPr>
          <w:rFonts w:asciiTheme="minorEastAsia" w:hAnsiTheme="minorEastAsia"/>
        </w:rPr>
      </w:pPr>
      <w:r>
        <w:rPr>
          <w:rFonts w:hint="eastAsia" w:asciiTheme="minorEastAsia" w:hAnsiTheme="minorEastAsia"/>
        </w:rPr>
        <w:t>3.3 响应文件的澄清和补正</w:t>
      </w:r>
    </w:p>
    <w:p>
      <w:pPr>
        <w:spacing w:line="360" w:lineRule="auto"/>
        <w:ind w:firstLine="424" w:firstLineChars="202"/>
        <w:rPr>
          <w:rFonts w:asciiTheme="minorEastAsia" w:hAnsiTheme="minorEastAsia"/>
        </w:rPr>
      </w:pPr>
      <w:r>
        <w:rPr>
          <w:rFonts w:hint="eastAsia" w:asciiTheme="minorEastAsia" w:hAnsiTheme="minorEastAsia"/>
        </w:rPr>
        <w:t>3.3.1在磋商过程中，磋商小组可以书面形式要求</w:t>
      </w:r>
      <w:r>
        <w:rPr>
          <w:rFonts w:hint="eastAsia" w:asciiTheme="minorEastAsia" w:hAnsiTheme="minorEastAsia"/>
          <w:lang w:eastAsia="zh-CN"/>
        </w:rPr>
        <w:t>响应人</w:t>
      </w:r>
      <w:r>
        <w:rPr>
          <w:rFonts w:hint="eastAsia" w:asciiTheme="minorEastAsia" w:hAnsiTheme="minorEastAsia"/>
        </w:rPr>
        <w:t>对所提交的响应文件中不明确的内容进行书面澄清或说明，或者对细微偏离进行补正。磋商小组不接受</w:t>
      </w:r>
      <w:r>
        <w:rPr>
          <w:rFonts w:hint="eastAsia" w:asciiTheme="minorEastAsia" w:hAnsiTheme="minorEastAsia"/>
          <w:lang w:eastAsia="zh-CN"/>
        </w:rPr>
        <w:t>响应人</w:t>
      </w:r>
      <w:r>
        <w:rPr>
          <w:rFonts w:hint="eastAsia" w:asciiTheme="minorEastAsia" w:hAnsiTheme="minorEastAsia"/>
        </w:rPr>
        <w:t>主动提出的澄清、说明或补正。</w:t>
      </w:r>
    </w:p>
    <w:p>
      <w:pPr>
        <w:spacing w:line="360" w:lineRule="auto"/>
        <w:ind w:firstLine="424" w:firstLineChars="202"/>
        <w:rPr>
          <w:rFonts w:asciiTheme="minorEastAsia" w:hAnsiTheme="minorEastAsia"/>
        </w:rPr>
      </w:pPr>
      <w:r>
        <w:rPr>
          <w:rFonts w:hint="eastAsia" w:asciiTheme="minorEastAsia" w:hAnsiTheme="minorEastAsia"/>
        </w:rPr>
        <w:t>3.3.2 澄清、说明和补正不得超出响应文件的范围或者改变响应文件的实质性内容（算术性错误修正的除外）。</w:t>
      </w:r>
      <w:r>
        <w:rPr>
          <w:rFonts w:hint="eastAsia" w:asciiTheme="minorEastAsia" w:hAnsiTheme="minorEastAsia"/>
          <w:lang w:eastAsia="zh-CN"/>
        </w:rPr>
        <w:t>响应人</w:t>
      </w:r>
      <w:r>
        <w:rPr>
          <w:rFonts w:hint="eastAsia" w:asciiTheme="minorEastAsia" w:hAnsiTheme="minorEastAsia"/>
        </w:rPr>
        <w:t>的书面澄清、说明和补正属于响应文件的组成部分。</w:t>
      </w:r>
    </w:p>
    <w:p>
      <w:pPr>
        <w:spacing w:line="360" w:lineRule="auto"/>
        <w:ind w:firstLine="424" w:firstLineChars="202"/>
        <w:rPr>
          <w:rFonts w:asciiTheme="minorEastAsia" w:hAnsiTheme="minorEastAsia"/>
        </w:rPr>
      </w:pPr>
      <w:r>
        <w:rPr>
          <w:rFonts w:hint="eastAsia" w:asciiTheme="minorEastAsia" w:hAnsiTheme="minorEastAsia"/>
        </w:rPr>
        <w:t>3.3.3 磋商小组对</w:t>
      </w:r>
      <w:r>
        <w:rPr>
          <w:rFonts w:hint="eastAsia" w:asciiTheme="minorEastAsia" w:hAnsiTheme="minorEastAsia"/>
          <w:lang w:eastAsia="zh-CN"/>
        </w:rPr>
        <w:t>响应人</w:t>
      </w:r>
      <w:r>
        <w:rPr>
          <w:rFonts w:hint="eastAsia" w:asciiTheme="minorEastAsia" w:hAnsiTheme="minorEastAsia"/>
        </w:rPr>
        <w:t>提交的澄清、说明或补正有疑问的，可以要求</w:t>
      </w:r>
      <w:r>
        <w:rPr>
          <w:rFonts w:hint="eastAsia" w:asciiTheme="minorEastAsia" w:hAnsiTheme="minorEastAsia"/>
          <w:lang w:eastAsia="zh-CN"/>
        </w:rPr>
        <w:t>响应人</w:t>
      </w:r>
      <w:r>
        <w:rPr>
          <w:rFonts w:hint="eastAsia" w:asciiTheme="minorEastAsia" w:hAnsiTheme="minorEastAsia"/>
        </w:rPr>
        <w:t>进一步澄清、说明或补正，直至满足磋商小组的要求。</w:t>
      </w:r>
    </w:p>
    <w:p>
      <w:pPr>
        <w:spacing w:line="360" w:lineRule="auto"/>
        <w:ind w:firstLine="424" w:firstLineChars="202"/>
        <w:rPr>
          <w:rFonts w:asciiTheme="minorEastAsia" w:hAnsiTheme="minorEastAsia"/>
        </w:rPr>
      </w:pPr>
      <w:r>
        <w:rPr>
          <w:rFonts w:hint="eastAsia" w:asciiTheme="minorEastAsia" w:hAnsiTheme="minorEastAsia"/>
        </w:rPr>
        <w:t>3.4 评审结果</w:t>
      </w:r>
    </w:p>
    <w:p>
      <w:pPr>
        <w:spacing w:line="360" w:lineRule="auto"/>
        <w:ind w:firstLine="424" w:firstLineChars="202"/>
        <w:rPr>
          <w:rFonts w:asciiTheme="minorEastAsia" w:hAnsiTheme="minorEastAsia"/>
        </w:rPr>
      </w:pPr>
      <w:r>
        <w:rPr>
          <w:rFonts w:hint="eastAsia" w:asciiTheme="minorEastAsia" w:hAnsiTheme="minorEastAsia"/>
        </w:rPr>
        <w:t>3.4.1除第二章“</w:t>
      </w:r>
      <w:r>
        <w:rPr>
          <w:rFonts w:hint="eastAsia" w:asciiTheme="minorEastAsia" w:hAnsiTheme="minorEastAsia"/>
          <w:lang w:eastAsia="zh-CN"/>
        </w:rPr>
        <w:t>响应人</w:t>
      </w:r>
      <w:r>
        <w:rPr>
          <w:rFonts w:hint="eastAsia" w:asciiTheme="minorEastAsia" w:hAnsiTheme="minorEastAsia"/>
        </w:rPr>
        <w:t>须知”前附表授权直接确定成交人外，磋商小组按照得分由高到低的顺序推荐成交候选人。</w:t>
      </w:r>
    </w:p>
    <w:p>
      <w:pPr>
        <w:spacing w:line="360" w:lineRule="auto"/>
        <w:ind w:firstLine="424" w:firstLineChars="202"/>
        <w:rPr>
          <w:rFonts w:asciiTheme="minorEastAsia" w:hAnsiTheme="minorEastAsia"/>
        </w:rPr>
      </w:pPr>
      <w:r>
        <w:rPr>
          <w:rFonts w:hint="eastAsia" w:asciiTheme="minorEastAsia" w:hAnsiTheme="minorEastAsia"/>
        </w:rPr>
        <w:t>3.4.2 磋商小组完成评审后，应当向采购人提交书面评审报告。</w:t>
      </w:r>
    </w:p>
    <w:p>
      <w:pPr>
        <w:widowControl/>
        <w:jc w:val="left"/>
        <w:rPr>
          <w:rFonts w:asciiTheme="minorEastAsia" w:hAnsiTheme="minorEastAsia"/>
        </w:rPr>
      </w:pPr>
      <w:r>
        <w:rPr>
          <w:rFonts w:asciiTheme="minorEastAsia" w:hAnsiTheme="minorEastAsia"/>
        </w:rPr>
        <w:br w:type="page"/>
      </w:r>
    </w:p>
    <w:p>
      <w:pPr>
        <w:pStyle w:val="3"/>
        <w:spacing w:before="0" w:after="0"/>
        <w:jc w:val="center"/>
        <w:rPr>
          <w:rFonts w:asciiTheme="minorEastAsia" w:hAnsiTheme="minorEastAsia"/>
          <w:sz w:val="32"/>
        </w:rPr>
      </w:pPr>
      <w:bookmarkStart w:id="35" w:name="_Toc43371490"/>
      <w:r>
        <w:rPr>
          <w:rFonts w:hint="eastAsia" w:asciiTheme="minorEastAsia" w:hAnsiTheme="minorEastAsia"/>
          <w:sz w:val="32"/>
        </w:rPr>
        <w:t>第四章 合同格式及合同条款</w:t>
      </w:r>
      <w:bookmarkEnd w:id="35"/>
    </w:p>
    <w:p>
      <w:pPr>
        <w:jc w:val="center"/>
        <w:rPr>
          <w:b/>
          <w:sz w:val="52"/>
          <w:szCs w:val="52"/>
        </w:rPr>
      </w:pPr>
      <w:r>
        <w:rPr>
          <w:rFonts w:hint="eastAsia"/>
          <w:b/>
          <w:sz w:val="52"/>
          <w:szCs w:val="52"/>
        </w:rPr>
        <w:t>合同协议书</w:t>
      </w:r>
    </w:p>
    <w:p>
      <w:pPr>
        <w:spacing w:line="360" w:lineRule="auto"/>
        <w:rPr>
          <w:rFonts w:ascii="宋体" w:hAnsi="宋体" w:eastAsia="宋体" w:cs="宋体"/>
          <w:sz w:val="24"/>
          <w:szCs w:val="24"/>
        </w:rPr>
      </w:pPr>
    </w:p>
    <w:p>
      <w:pPr>
        <w:spacing w:line="360" w:lineRule="auto"/>
        <w:rPr>
          <w:rFonts w:ascii="宋体" w:hAnsi="宋体" w:eastAsia="宋体" w:cs="宋体"/>
          <w:sz w:val="24"/>
          <w:szCs w:val="24"/>
        </w:rPr>
      </w:pPr>
      <w:r>
        <w:rPr>
          <w:rFonts w:hint="eastAsia" w:ascii="宋体" w:hAnsi="宋体" w:eastAsia="宋体" w:cs="宋体"/>
          <w:sz w:val="24"/>
          <w:szCs w:val="24"/>
        </w:rPr>
        <w:t>发包人（全称）：</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w:t>
      </w:r>
    </w:p>
    <w:p>
      <w:pPr>
        <w:spacing w:line="360" w:lineRule="auto"/>
        <w:rPr>
          <w:rFonts w:ascii="宋体" w:hAnsi="宋体" w:eastAsia="宋体" w:cs="宋体"/>
          <w:sz w:val="24"/>
          <w:szCs w:val="24"/>
        </w:rPr>
      </w:pPr>
      <w:r>
        <w:rPr>
          <w:rFonts w:hint="eastAsia" w:ascii="宋体" w:hAnsi="宋体" w:eastAsia="宋体" w:cs="宋体"/>
          <w:sz w:val="24"/>
          <w:szCs w:val="24"/>
        </w:rPr>
        <w:t>承包人（全称）：</w:t>
      </w:r>
      <w:r>
        <w:rPr>
          <w:rFonts w:hint="eastAsia" w:ascii="宋体" w:hAnsi="宋体" w:eastAsia="宋体" w:cs="宋体"/>
          <w:sz w:val="24"/>
          <w:szCs w:val="24"/>
          <w:u w:val="single"/>
        </w:rPr>
        <w:t xml:space="preserve">                                  </w:t>
      </w:r>
    </w:p>
    <w:p>
      <w:pPr>
        <w:spacing w:line="360" w:lineRule="auto"/>
        <w:rPr>
          <w:rFonts w:ascii="宋体" w:hAnsi="宋体" w:eastAsia="宋体" w:cs="宋体"/>
          <w:sz w:val="24"/>
          <w:szCs w:val="24"/>
        </w:rPr>
      </w:pPr>
      <w:r>
        <w:rPr>
          <w:rFonts w:hint="eastAsia" w:ascii="宋体" w:hAnsi="宋体" w:eastAsia="宋体" w:cs="宋体"/>
          <w:sz w:val="24"/>
          <w:szCs w:val="24"/>
        </w:rPr>
        <w:tab/>
      </w:r>
      <w:r>
        <w:rPr>
          <w:rFonts w:hint="eastAsia" w:ascii="宋体" w:hAnsi="宋体" w:eastAsia="宋体" w:cs="宋体"/>
          <w:sz w:val="24"/>
          <w:szCs w:val="24"/>
        </w:rPr>
        <w:t>根据《中华人民共和国合同法》、《中华人民共和国建筑法》及有关法律规定，遵循平等、自愿、公平和诚实信用的原则，双方就</w:t>
      </w:r>
      <w:r>
        <w:rPr>
          <w:rFonts w:hint="eastAsia" w:ascii="宋体" w:hAnsi="宋体" w:eastAsia="宋体" w:cs="宋体"/>
          <w:sz w:val="24"/>
          <w:szCs w:val="24"/>
          <w:u w:val="single"/>
        </w:rPr>
        <w:t xml:space="preserve">                 </w:t>
      </w:r>
      <w:r>
        <w:rPr>
          <w:rFonts w:hint="eastAsia" w:ascii="宋体" w:hAnsi="宋体" w:eastAsia="宋体" w:cs="宋体"/>
          <w:sz w:val="24"/>
          <w:szCs w:val="24"/>
        </w:rPr>
        <w:t>项目施工及有关事项协商一致，共同达成如下协议：</w:t>
      </w:r>
    </w:p>
    <w:p>
      <w:pPr>
        <w:spacing w:line="360" w:lineRule="auto"/>
        <w:rPr>
          <w:rFonts w:ascii="宋体" w:hAnsi="宋体" w:eastAsia="宋体" w:cs="宋体"/>
          <w:sz w:val="24"/>
          <w:szCs w:val="24"/>
        </w:rPr>
      </w:pPr>
      <w:r>
        <w:rPr>
          <w:rFonts w:hint="eastAsia" w:ascii="宋体" w:hAnsi="宋体" w:eastAsia="宋体" w:cs="宋体"/>
          <w:sz w:val="24"/>
          <w:szCs w:val="24"/>
        </w:rPr>
        <w:t>一、工程概况</w:t>
      </w:r>
    </w:p>
    <w:p>
      <w:pPr>
        <w:spacing w:line="360" w:lineRule="auto"/>
        <w:rPr>
          <w:rFonts w:ascii="宋体" w:hAnsi="宋体" w:eastAsia="宋体" w:cs="宋体"/>
          <w:sz w:val="24"/>
          <w:szCs w:val="24"/>
        </w:rPr>
      </w:pPr>
      <w:r>
        <w:rPr>
          <w:rFonts w:hint="eastAsia" w:ascii="宋体" w:hAnsi="宋体" w:eastAsia="宋体" w:cs="宋体"/>
          <w:sz w:val="24"/>
          <w:szCs w:val="24"/>
        </w:rPr>
        <w:t>1、工程名称：</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w:t>
      </w:r>
    </w:p>
    <w:p>
      <w:pPr>
        <w:spacing w:line="360" w:lineRule="auto"/>
        <w:rPr>
          <w:rFonts w:ascii="宋体" w:hAnsi="宋体" w:eastAsia="宋体" w:cs="宋体"/>
          <w:sz w:val="24"/>
          <w:szCs w:val="24"/>
        </w:rPr>
      </w:pPr>
      <w:r>
        <w:rPr>
          <w:rFonts w:hint="eastAsia" w:ascii="宋体" w:hAnsi="宋体" w:eastAsia="宋体" w:cs="宋体"/>
          <w:sz w:val="24"/>
          <w:szCs w:val="24"/>
        </w:rPr>
        <w:t>2、工程地址：</w:t>
      </w:r>
      <w:r>
        <w:rPr>
          <w:rFonts w:hint="eastAsia" w:ascii="宋体" w:hAnsi="宋体" w:eastAsia="宋体" w:cs="宋体"/>
          <w:sz w:val="24"/>
          <w:szCs w:val="24"/>
          <w:u w:val="single"/>
        </w:rPr>
        <w:t xml:space="preserve">                              </w:t>
      </w:r>
    </w:p>
    <w:p>
      <w:pPr>
        <w:spacing w:line="360" w:lineRule="auto"/>
        <w:rPr>
          <w:rFonts w:ascii="宋体" w:hAnsi="宋体" w:eastAsia="宋体" w:cs="宋体"/>
          <w:sz w:val="24"/>
          <w:szCs w:val="24"/>
        </w:rPr>
      </w:pPr>
      <w:r>
        <w:rPr>
          <w:rFonts w:hint="eastAsia" w:ascii="宋体" w:hAnsi="宋体" w:eastAsia="宋体" w:cs="宋体"/>
          <w:sz w:val="24"/>
          <w:szCs w:val="24"/>
        </w:rPr>
        <w:t>3、工程内容：</w:t>
      </w:r>
      <w:r>
        <w:rPr>
          <w:rFonts w:hint="eastAsia" w:ascii="宋体" w:hAnsi="宋体" w:eastAsia="宋体" w:cs="宋体"/>
          <w:sz w:val="24"/>
          <w:szCs w:val="24"/>
          <w:u w:val="single"/>
        </w:rPr>
        <w:t xml:space="preserve">                              </w:t>
      </w:r>
    </w:p>
    <w:p>
      <w:pPr>
        <w:spacing w:line="360" w:lineRule="auto"/>
        <w:rPr>
          <w:rFonts w:ascii="宋体" w:hAnsi="宋体" w:eastAsia="宋体" w:cs="宋体"/>
          <w:sz w:val="24"/>
          <w:szCs w:val="24"/>
        </w:rPr>
      </w:pPr>
      <w:r>
        <w:rPr>
          <w:rFonts w:hint="eastAsia" w:ascii="宋体" w:hAnsi="宋体" w:eastAsia="宋体" w:cs="宋体"/>
          <w:sz w:val="24"/>
          <w:szCs w:val="24"/>
        </w:rPr>
        <w:t>4、承包方式：包工包料</w:t>
      </w:r>
    </w:p>
    <w:p>
      <w:pPr>
        <w:spacing w:line="360" w:lineRule="auto"/>
        <w:rPr>
          <w:rFonts w:ascii="宋体" w:hAnsi="宋体" w:eastAsia="宋体" w:cs="宋体"/>
          <w:sz w:val="24"/>
          <w:szCs w:val="24"/>
          <w:u w:val="single"/>
        </w:rPr>
      </w:pPr>
      <w:r>
        <w:rPr>
          <w:rFonts w:hint="eastAsia" w:ascii="宋体" w:hAnsi="宋体" w:eastAsia="宋体" w:cs="宋体"/>
          <w:sz w:val="24"/>
          <w:szCs w:val="24"/>
        </w:rPr>
        <w:t>5、开工日期：</w:t>
      </w:r>
      <w:r>
        <w:rPr>
          <w:rFonts w:hint="eastAsia" w:ascii="宋体" w:hAnsi="宋体" w:eastAsia="宋体" w:cs="宋体"/>
          <w:sz w:val="24"/>
          <w:szCs w:val="24"/>
          <w:u w:val="single"/>
        </w:rPr>
        <w:t xml:space="preserve">        年      月       日；</w:t>
      </w:r>
    </w:p>
    <w:p>
      <w:pPr>
        <w:spacing w:line="360" w:lineRule="auto"/>
        <w:rPr>
          <w:rFonts w:ascii="宋体" w:hAnsi="宋体" w:eastAsia="宋体" w:cs="宋体"/>
          <w:sz w:val="24"/>
          <w:szCs w:val="24"/>
        </w:rPr>
      </w:pPr>
      <w:r>
        <w:rPr>
          <w:rFonts w:hint="eastAsia" w:ascii="宋体" w:hAnsi="宋体" w:eastAsia="宋体" w:cs="宋体"/>
          <w:sz w:val="24"/>
          <w:szCs w:val="24"/>
        </w:rPr>
        <w:tab/>
      </w:r>
      <w:r>
        <w:rPr>
          <w:rFonts w:hint="eastAsia" w:ascii="宋体" w:hAnsi="宋体" w:eastAsia="宋体" w:cs="宋体"/>
          <w:sz w:val="24"/>
          <w:szCs w:val="24"/>
        </w:rPr>
        <w:t>竣工日期：</w:t>
      </w:r>
      <w:r>
        <w:rPr>
          <w:rFonts w:hint="eastAsia" w:ascii="宋体" w:hAnsi="宋体" w:eastAsia="宋体" w:cs="宋体"/>
          <w:sz w:val="24"/>
          <w:szCs w:val="24"/>
          <w:u w:val="single"/>
        </w:rPr>
        <w:t xml:space="preserve">        年      月       日；</w:t>
      </w:r>
    </w:p>
    <w:p>
      <w:pPr>
        <w:spacing w:line="360" w:lineRule="auto"/>
        <w:rPr>
          <w:rFonts w:ascii="宋体" w:hAnsi="宋体" w:eastAsia="宋体" w:cs="宋体"/>
          <w:sz w:val="24"/>
          <w:szCs w:val="24"/>
        </w:rPr>
      </w:pPr>
      <w:r>
        <w:rPr>
          <w:rFonts w:hint="eastAsia" w:ascii="宋体" w:hAnsi="宋体" w:eastAsia="宋体" w:cs="宋体"/>
          <w:sz w:val="24"/>
          <w:szCs w:val="24"/>
        </w:rPr>
        <w:t>6、总日历工期天数：</w:t>
      </w:r>
      <w:r>
        <w:rPr>
          <w:rFonts w:hint="eastAsia" w:ascii="宋体" w:hAnsi="宋体" w:eastAsia="宋体" w:cs="宋体"/>
          <w:sz w:val="24"/>
          <w:szCs w:val="24"/>
          <w:lang w:val="en-US" w:eastAsia="zh-CN"/>
        </w:rPr>
        <w:t>90</w:t>
      </w:r>
      <w:r>
        <w:rPr>
          <w:rFonts w:hint="eastAsia" w:ascii="宋体" w:hAnsi="宋体" w:eastAsia="宋体" w:cs="宋体"/>
          <w:sz w:val="24"/>
          <w:szCs w:val="24"/>
        </w:rPr>
        <w:t>天；</w:t>
      </w:r>
    </w:p>
    <w:p>
      <w:pPr>
        <w:spacing w:line="360" w:lineRule="auto"/>
        <w:rPr>
          <w:rFonts w:ascii="宋体" w:hAnsi="宋体" w:eastAsia="宋体" w:cs="宋体"/>
          <w:sz w:val="24"/>
          <w:szCs w:val="24"/>
        </w:rPr>
      </w:pPr>
      <w:r>
        <w:rPr>
          <w:rFonts w:hint="eastAsia" w:ascii="宋体" w:hAnsi="宋体" w:eastAsia="宋体" w:cs="宋体"/>
          <w:sz w:val="24"/>
          <w:szCs w:val="24"/>
        </w:rPr>
        <w:t>7、质量等级：国家质量验收规范合格标准；</w:t>
      </w:r>
    </w:p>
    <w:p>
      <w:pPr>
        <w:spacing w:line="360" w:lineRule="auto"/>
        <w:rPr>
          <w:rFonts w:ascii="宋体" w:hAnsi="宋体" w:eastAsia="宋体" w:cs="宋体"/>
          <w:sz w:val="24"/>
          <w:szCs w:val="24"/>
        </w:rPr>
      </w:pPr>
      <w:r>
        <w:rPr>
          <w:rFonts w:hint="eastAsia" w:ascii="宋体" w:hAnsi="宋体" w:eastAsia="宋体" w:cs="宋体"/>
          <w:sz w:val="24"/>
          <w:szCs w:val="24"/>
        </w:rPr>
        <w:t>8、合同价款：</w:t>
      </w:r>
      <w:r>
        <w:rPr>
          <w:rFonts w:hint="eastAsia" w:ascii="宋体" w:hAnsi="宋体" w:eastAsia="宋体" w:cs="宋体"/>
          <w:sz w:val="24"/>
          <w:szCs w:val="24"/>
          <w:u w:val="single"/>
        </w:rPr>
        <w:t xml:space="preserve">                               </w:t>
      </w:r>
    </w:p>
    <w:p>
      <w:pPr>
        <w:spacing w:line="360" w:lineRule="auto"/>
        <w:rPr>
          <w:rFonts w:ascii="宋体" w:hAnsi="宋体" w:eastAsia="宋体" w:cs="宋体"/>
          <w:sz w:val="24"/>
          <w:szCs w:val="24"/>
          <w:u w:val="single"/>
        </w:rPr>
      </w:pPr>
      <w:r>
        <w:rPr>
          <w:rFonts w:hint="eastAsia" w:ascii="宋体" w:hAnsi="宋体" w:eastAsia="宋体" w:cs="宋体"/>
          <w:sz w:val="24"/>
          <w:szCs w:val="24"/>
        </w:rPr>
        <w:t>9、付款方式：</w:t>
      </w:r>
      <w:r>
        <w:rPr>
          <w:rFonts w:hint="eastAsia" w:ascii="宋体" w:hAnsi="宋体" w:eastAsia="宋体" w:cs="宋体"/>
          <w:sz w:val="24"/>
          <w:szCs w:val="24"/>
          <w:u w:val="single"/>
        </w:rPr>
        <w:t>按财政资金拨付进度执行</w:t>
      </w:r>
    </w:p>
    <w:p>
      <w:pPr>
        <w:spacing w:line="360" w:lineRule="auto"/>
        <w:rPr>
          <w:rFonts w:ascii="Calibri" w:hAnsi="Calibri" w:eastAsia="宋体" w:cs="Times New Roman"/>
          <w:sz w:val="24"/>
        </w:rPr>
      </w:pPr>
      <w:r>
        <w:rPr>
          <w:rFonts w:hint="eastAsia" w:ascii="Calibri" w:hAnsi="Calibri" w:eastAsia="宋体" w:cs="Times New Roman"/>
          <w:sz w:val="24"/>
        </w:rPr>
        <w:tab/>
      </w:r>
      <w:r>
        <w:rPr>
          <w:rFonts w:hint="eastAsia" w:ascii="Calibri" w:hAnsi="Calibri" w:eastAsia="宋体" w:cs="Times New Roman"/>
          <w:sz w:val="24"/>
        </w:rPr>
        <w:t>注：1、以上各次付款均以财政资金到位为前提；</w:t>
      </w:r>
    </w:p>
    <w:p>
      <w:pPr>
        <w:spacing w:line="360" w:lineRule="auto"/>
        <w:rPr>
          <w:rFonts w:ascii="宋体" w:hAnsi="宋体" w:eastAsia="宋体" w:cs="宋体"/>
          <w:sz w:val="24"/>
          <w:szCs w:val="24"/>
        </w:rPr>
      </w:pPr>
      <w:r>
        <w:rPr>
          <w:rFonts w:hint="eastAsia" w:ascii="Calibri" w:hAnsi="Calibri" w:eastAsia="宋体" w:cs="Times New Roman"/>
          <w:sz w:val="24"/>
        </w:rPr>
        <w:t xml:space="preserve">  </w:t>
      </w:r>
      <w:r>
        <w:rPr>
          <w:rFonts w:hint="eastAsia" w:ascii="Calibri" w:hAnsi="Calibri" w:eastAsia="宋体" w:cs="Times New Roman"/>
          <w:sz w:val="24"/>
        </w:rPr>
        <w:tab/>
      </w:r>
      <w:r>
        <w:rPr>
          <w:rFonts w:hint="eastAsia" w:ascii="Calibri" w:hAnsi="Calibri" w:eastAsia="宋体" w:cs="Times New Roman"/>
          <w:sz w:val="24"/>
        </w:rPr>
        <w:t xml:space="preserve">    2、工程结算价以郑州市财政局结算审定金额为准。</w:t>
      </w:r>
    </w:p>
    <w:p>
      <w:pPr>
        <w:spacing w:line="360" w:lineRule="auto"/>
        <w:rPr>
          <w:rFonts w:ascii="宋体" w:hAnsi="宋体" w:eastAsia="宋体" w:cs="宋体"/>
          <w:sz w:val="24"/>
          <w:szCs w:val="24"/>
        </w:rPr>
      </w:pPr>
      <w:r>
        <w:rPr>
          <w:rFonts w:hint="eastAsia" w:ascii="宋体" w:hAnsi="宋体" w:eastAsia="宋体" w:cs="宋体"/>
          <w:sz w:val="24"/>
          <w:szCs w:val="24"/>
        </w:rPr>
        <w:t>二、施工周期</w:t>
      </w:r>
    </w:p>
    <w:p>
      <w:pPr>
        <w:spacing w:line="360" w:lineRule="auto"/>
        <w:rPr>
          <w:rFonts w:ascii="宋体" w:hAnsi="宋体" w:eastAsia="宋体" w:cs="宋体"/>
          <w:sz w:val="24"/>
          <w:szCs w:val="24"/>
        </w:rPr>
      </w:pPr>
      <w:r>
        <w:rPr>
          <w:rFonts w:hint="eastAsia" w:ascii="宋体" w:hAnsi="宋体" w:eastAsia="宋体" w:cs="宋体"/>
          <w:sz w:val="24"/>
          <w:szCs w:val="24"/>
        </w:rPr>
        <w:t>1、本合同签定后，乙方进场施工，施工工期为自乙方施工人员正式进场的次日算起</w:t>
      </w:r>
      <w:r>
        <w:rPr>
          <w:rFonts w:hint="eastAsia" w:ascii="宋体" w:hAnsi="宋体" w:eastAsia="宋体" w:cs="宋体"/>
          <w:sz w:val="24"/>
          <w:szCs w:val="24"/>
          <w:lang w:val="en-US" w:eastAsia="zh-CN"/>
        </w:rPr>
        <w:t>90</w:t>
      </w:r>
      <w:bookmarkStart w:id="128" w:name="_GoBack"/>
      <w:bookmarkEnd w:id="128"/>
      <w:r>
        <w:rPr>
          <w:rFonts w:hint="eastAsia" w:ascii="宋体" w:hAnsi="宋体" w:eastAsia="宋体" w:cs="宋体"/>
          <w:sz w:val="24"/>
          <w:szCs w:val="24"/>
        </w:rPr>
        <w:t>日内完工。</w:t>
      </w:r>
    </w:p>
    <w:p>
      <w:pPr>
        <w:spacing w:line="360" w:lineRule="auto"/>
        <w:rPr>
          <w:rFonts w:ascii="宋体" w:hAnsi="宋体" w:eastAsia="宋体" w:cs="宋体"/>
          <w:sz w:val="24"/>
          <w:szCs w:val="24"/>
        </w:rPr>
      </w:pPr>
      <w:r>
        <w:rPr>
          <w:rFonts w:hint="eastAsia" w:ascii="宋体" w:hAnsi="宋体" w:eastAsia="宋体" w:cs="宋体"/>
          <w:sz w:val="24"/>
          <w:szCs w:val="24"/>
        </w:rPr>
        <w:t>2、乙方应按照合同工期有计划地展开施工，并接受甲方对施工进度的监督、检查，施工进度与计划不符时，乙方应按照甲方提出的合理性修改意见改进措施，经甲方签字后执行；</w:t>
      </w:r>
    </w:p>
    <w:p>
      <w:pPr>
        <w:spacing w:line="360" w:lineRule="auto"/>
        <w:rPr>
          <w:rFonts w:ascii="宋体" w:hAnsi="宋体" w:eastAsia="宋体" w:cs="宋体"/>
          <w:sz w:val="24"/>
          <w:szCs w:val="24"/>
        </w:rPr>
      </w:pPr>
      <w:r>
        <w:rPr>
          <w:rFonts w:hint="eastAsia" w:ascii="宋体" w:hAnsi="宋体" w:eastAsia="宋体" w:cs="宋体"/>
          <w:sz w:val="24"/>
          <w:szCs w:val="24"/>
        </w:rPr>
        <w:t>3、按照合同开工日期，若乙方不能按时开工应在开工日期前2天提前向甲方提出延期开工的理由和要求，并征得甲方同意；</w:t>
      </w:r>
    </w:p>
    <w:p>
      <w:pPr>
        <w:spacing w:line="360" w:lineRule="auto"/>
        <w:rPr>
          <w:rFonts w:ascii="宋体" w:hAnsi="宋体" w:eastAsia="宋体" w:cs="宋体"/>
          <w:sz w:val="24"/>
          <w:szCs w:val="24"/>
        </w:rPr>
      </w:pPr>
      <w:r>
        <w:rPr>
          <w:rFonts w:hint="eastAsia" w:ascii="宋体" w:hAnsi="宋体" w:eastAsia="宋体" w:cs="宋体"/>
          <w:sz w:val="24"/>
          <w:szCs w:val="24"/>
        </w:rPr>
        <w:t>三、工程质量</w:t>
      </w:r>
    </w:p>
    <w:p>
      <w:pPr>
        <w:spacing w:line="360" w:lineRule="auto"/>
        <w:rPr>
          <w:rFonts w:ascii="宋体" w:hAnsi="宋体" w:eastAsia="宋体" w:cs="宋体"/>
          <w:sz w:val="24"/>
          <w:szCs w:val="24"/>
        </w:rPr>
      </w:pPr>
      <w:r>
        <w:rPr>
          <w:rFonts w:hint="eastAsia" w:ascii="宋体" w:hAnsi="宋体" w:eastAsia="宋体" w:cs="宋体"/>
          <w:sz w:val="24"/>
          <w:szCs w:val="24"/>
        </w:rPr>
        <w:t xml:space="preserve">1、质量要求：合格, 承包方保证提供的设备为全新的、未曾使用过的合格产品。 </w:t>
      </w:r>
    </w:p>
    <w:p>
      <w:pPr>
        <w:spacing w:line="360" w:lineRule="auto"/>
        <w:rPr>
          <w:rFonts w:ascii="宋体" w:hAnsi="宋体" w:eastAsia="宋体" w:cs="宋体"/>
          <w:sz w:val="24"/>
          <w:szCs w:val="24"/>
        </w:rPr>
      </w:pPr>
      <w:r>
        <w:rPr>
          <w:rFonts w:hint="eastAsia" w:ascii="宋体" w:hAnsi="宋体" w:eastAsia="宋体" w:cs="宋体"/>
          <w:sz w:val="24"/>
          <w:szCs w:val="24"/>
        </w:rPr>
        <w:t>2、质量保修期：①装修工程</w:t>
      </w:r>
      <w:r>
        <w:rPr>
          <w:rFonts w:hint="eastAsia" w:ascii="宋体" w:hAnsi="宋体" w:eastAsia="宋体" w:cs="宋体"/>
          <w:sz w:val="24"/>
          <w:szCs w:val="24"/>
          <w:lang w:val="en-US" w:eastAsia="zh-CN"/>
        </w:rPr>
        <w:t>两</w:t>
      </w:r>
      <w:r>
        <w:rPr>
          <w:rFonts w:hint="eastAsia" w:ascii="宋体" w:hAnsi="宋体" w:eastAsia="宋体" w:cs="宋体"/>
          <w:sz w:val="24"/>
          <w:szCs w:val="24"/>
        </w:rPr>
        <w:t>年质保；②屋面防水工程、有防水要求的卫生间、房间和外墙面的防渗五年质保；③电气管线、给排水管道、设备安装工程</w:t>
      </w:r>
      <w:r>
        <w:rPr>
          <w:rFonts w:hint="eastAsia" w:ascii="宋体" w:hAnsi="宋体" w:eastAsia="宋体" w:cs="宋体"/>
          <w:sz w:val="24"/>
          <w:szCs w:val="24"/>
          <w:lang w:val="en-US" w:eastAsia="zh-CN"/>
        </w:rPr>
        <w:t>两</w:t>
      </w:r>
      <w:r>
        <w:rPr>
          <w:rFonts w:hint="eastAsia" w:ascii="宋体" w:hAnsi="宋体" w:eastAsia="宋体" w:cs="宋体"/>
          <w:sz w:val="24"/>
          <w:szCs w:val="24"/>
        </w:rPr>
        <w:t>年质保；</w:t>
      </w:r>
    </w:p>
    <w:p>
      <w:pPr>
        <w:spacing w:line="360" w:lineRule="auto"/>
        <w:rPr>
          <w:rFonts w:ascii="宋体" w:hAnsi="宋体" w:eastAsia="宋体" w:cs="宋体"/>
          <w:sz w:val="24"/>
          <w:szCs w:val="24"/>
        </w:rPr>
      </w:pPr>
      <w:r>
        <w:rPr>
          <w:rFonts w:hint="eastAsia" w:ascii="宋体" w:hAnsi="宋体" w:eastAsia="宋体" w:cs="宋体"/>
          <w:sz w:val="24"/>
          <w:szCs w:val="24"/>
        </w:rPr>
        <w:t>质量保修期自工程竣工验收合格之日起计算。</w:t>
      </w:r>
    </w:p>
    <w:p>
      <w:pPr>
        <w:spacing w:line="360" w:lineRule="auto"/>
        <w:rPr>
          <w:rFonts w:ascii="宋体" w:hAnsi="宋体" w:eastAsia="宋体" w:cs="宋体"/>
          <w:sz w:val="24"/>
          <w:szCs w:val="24"/>
        </w:rPr>
      </w:pPr>
      <w:r>
        <w:rPr>
          <w:rFonts w:hint="eastAsia" w:ascii="宋体" w:hAnsi="宋体" w:eastAsia="宋体" w:cs="宋体"/>
          <w:sz w:val="24"/>
          <w:szCs w:val="24"/>
        </w:rPr>
        <w:t>四、安全文明施工</w:t>
      </w:r>
    </w:p>
    <w:p>
      <w:pPr>
        <w:spacing w:line="360" w:lineRule="auto"/>
        <w:rPr>
          <w:rFonts w:ascii="宋体" w:hAnsi="宋体" w:eastAsia="宋体" w:cs="宋体"/>
          <w:sz w:val="24"/>
          <w:szCs w:val="24"/>
        </w:rPr>
      </w:pPr>
      <w:r>
        <w:rPr>
          <w:rFonts w:hint="eastAsia" w:ascii="宋体" w:hAnsi="宋体" w:eastAsia="宋体" w:cs="宋体"/>
          <w:sz w:val="24"/>
          <w:szCs w:val="24"/>
        </w:rPr>
        <w:tab/>
      </w:r>
      <w:r>
        <w:rPr>
          <w:rFonts w:hint="eastAsia" w:ascii="宋体" w:hAnsi="宋体" w:eastAsia="宋体" w:cs="宋体"/>
          <w:sz w:val="24"/>
          <w:szCs w:val="24"/>
        </w:rPr>
        <w:t>项目安全生产的达标目标及相应事项的约定：承包人应遵守工程建设安全生产有关管理规定，严格按现行安全标准组织施工，并随时接受行业安全检查人员依法实施的监督检查，采取必要的安全防护措施，消除事故隐患。其安全施工防护费用已经含在合同价款内。承包方在施工生产过程中违反有关安全操作规程、消防条例，导致发生人员伤亡或火灾事故，承包方应承担由此引发的一切损失和责任。</w:t>
      </w:r>
    </w:p>
    <w:p>
      <w:pPr>
        <w:spacing w:line="360" w:lineRule="auto"/>
        <w:rPr>
          <w:rFonts w:ascii="宋体" w:hAnsi="宋体" w:eastAsia="宋体" w:cs="宋体"/>
          <w:sz w:val="24"/>
          <w:szCs w:val="24"/>
        </w:rPr>
      </w:pPr>
      <w:r>
        <w:rPr>
          <w:rFonts w:hint="eastAsia" w:ascii="宋体" w:hAnsi="宋体" w:eastAsia="宋体" w:cs="宋体"/>
          <w:sz w:val="24"/>
          <w:szCs w:val="24"/>
        </w:rPr>
        <w:t>五、承诺</w:t>
      </w:r>
    </w:p>
    <w:p>
      <w:pPr>
        <w:spacing w:line="360" w:lineRule="auto"/>
        <w:rPr>
          <w:rFonts w:ascii="宋体" w:hAnsi="宋体" w:eastAsia="宋体" w:cs="宋体"/>
          <w:sz w:val="24"/>
          <w:szCs w:val="24"/>
        </w:rPr>
      </w:pPr>
      <w:r>
        <w:rPr>
          <w:rFonts w:hint="eastAsia" w:ascii="宋体" w:hAnsi="宋体" w:eastAsia="宋体" w:cs="宋体"/>
          <w:sz w:val="24"/>
          <w:szCs w:val="24"/>
        </w:rPr>
        <w:t>1、发包人承诺按照法律规定履行项目审批手续、筹集工程建设资金并按照合同约定的期限和方式支付合同价款。</w:t>
      </w:r>
    </w:p>
    <w:p>
      <w:pPr>
        <w:spacing w:line="360" w:lineRule="auto"/>
        <w:rPr>
          <w:rFonts w:ascii="宋体" w:hAnsi="宋体" w:eastAsia="宋体" w:cs="宋体"/>
          <w:sz w:val="24"/>
          <w:szCs w:val="24"/>
        </w:rPr>
      </w:pPr>
      <w:r>
        <w:rPr>
          <w:rFonts w:hint="eastAsia" w:ascii="宋体" w:hAnsi="宋体" w:eastAsia="宋体" w:cs="宋体"/>
          <w:sz w:val="24"/>
          <w:szCs w:val="24"/>
        </w:rPr>
        <w:t>2、承包人承诺按照法律规定及合同约定组织完成工程施工，确保工程质量和安全，不进行转包及违法分包，并在缺陷责任期及保修期内承担相应的工程维修责任。</w:t>
      </w:r>
    </w:p>
    <w:p>
      <w:pPr>
        <w:spacing w:line="360" w:lineRule="auto"/>
        <w:rPr>
          <w:rFonts w:ascii="宋体" w:hAnsi="宋体" w:eastAsia="宋体" w:cs="宋体"/>
          <w:sz w:val="24"/>
          <w:szCs w:val="24"/>
        </w:rPr>
      </w:pPr>
      <w:r>
        <w:rPr>
          <w:rFonts w:hint="eastAsia" w:ascii="宋体" w:hAnsi="宋体" w:eastAsia="宋体" w:cs="宋体"/>
          <w:sz w:val="24"/>
          <w:szCs w:val="24"/>
        </w:rPr>
        <w:t>3、发包人和承包人通过招投标形式签订合同的，双方理解并承诺不再就同一工程另行签订与合同实质性内容相背离的协议。</w:t>
      </w:r>
    </w:p>
    <w:p>
      <w:pPr>
        <w:spacing w:line="360" w:lineRule="auto"/>
        <w:rPr>
          <w:rFonts w:ascii="宋体" w:hAnsi="宋体" w:eastAsia="宋体" w:cs="宋体"/>
          <w:sz w:val="24"/>
          <w:szCs w:val="24"/>
        </w:rPr>
      </w:pPr>
      <w:r>
        <w:rPr>
          <w:rFonts w:hint="eastAsia" w:ascii="宋体" w:hAnsi="宋体" w:eastAsia="宋体" w:cs="宋体"/>
          <w:sz w:val="24"/>
          <w:szCs w:val="24"/>
        </w:rPr>
        <w:t>六、纠纷及争议处理方式</w:t>
      </w:r>
    </w:p>
    <w:p>
      <w:pPr>
        <w:spacing w:line="360" w:lineRule="auto"/>
        <w:rPr>
          <w:rFonts w:ascii="宋体" w:hAnsi="宋体" w:eastAsia="宋体" w:cs="宋体"/>
          <w:sz w:val="24"/>
          <w:szCs w:val="24"/>
        </w:rPr>
      </w:pPr>
      <w:r>
        <w:rPr>
          <w:rFonts w:hint="eastAsia" w:ascii="宋体" w:hAnsi="宋体" w:eastAsia="宋体" w:cs="宋体"/>
          <w:sz w:val="24"/>
          <w:szCs w:val="24"/>
        </w:rPr>
        <w:t>1、在施工过程中若甲乙双方发生争议时应首先本着真诚、互信、合作的态度，优先通过友好协商、调解解决；</w:t>
      </w:r>
    </w:p>
    <w:p>
      <w:pPr>
        <w:spacing w:line="360" w:lineRule="auto"/>
        <w:rPr>
          <w:rFonts w:ascii="宋体" w:hAnsi="宋体" w:eastAsia="宋体" w:cs="宋体"/>
          <w:sz w:val="24"/>
          <w:szCs w:val="24"/>
        </w:rPr>
      </w:pPr>
      <w:r>
        <w:rPr>
          <w:rFonts w:hint="eastAsia" w:ascii="宋体" w:hAnsi="宋体" w:eastAsia="宋体" w:cs="宋体"/>
          <w:sz w:val="24"/>
          <w:szCs w:val="24"/>
        </w:rPr>
        <w:t>2、若甲乙双方不愿通过协商、调解解决，或协商、调解不能解决的，可以向本项目所在地的人民法院提起诉讼。</w:t>
      </w:r>
    </w:p>
    <w:p>
      <w:pPr>
        <w:spacing w:line="360" w:lineRule="auto"/>
        <w:rPr>
          <w:rFonts w:ascii="宋体" w:hAnsi="宋体" w:eastAsia="宋体" w:cs="宋体"/>
          <w:sz w:val="24"/>
          <w:szCs w:val="24"/>
        </w:rPr>
      </w:pPr>
      <w:r>
        <w:rPr>
          <w:rFonts w:hint="eastAsia" w:ascii="宋体" w:hAnsi="宋体" w:eastAsia="宋体" w:cs="宋体"/>
          <w:sz w:val="24"/>
          <w:szCs w:val="24"/>
        </w:rPr>
        <w:t>3、 违约责任：</w:t>
      </w:r>
    </w:p>
    <w:p>
      <w:pPr>
        <w:spacing w:line="360" w:lineRule="auto"/>
        <w:rPr>
          <w:rFonts w:ascii="宋体" w:hAnsi="宋体" w:eastAsia="宋体" w:cs="宋体"/>
          <w:sz w:val="24"/>
          <w:szCs w:val="24"/>
        </w:rPr>
      </w:pPr>
      <w:r>
        <w:rPr>
          <w:rFonts w:hint="eastAsia" w:ascii="宋体" w:hAnsi="宋体" w:eastAsia="宋体" w:cs="宋体"/>
          <w:sz w:val="24"/>
          <w:szCs w:val="24"/>
        </w:rPr>
        <w:t>①、若竣工验收不合格或存在明显质量或技术缺陷的，乙方必须无条件返工使之达到正常使用要求，并承担返工所造成的自身施工费、材料费等，由此给甲方造成的经济损失乙方应予以赔偿；</w:t>
      </w:r>
    </w:p>
    <w:p>
      <w:pPr>
        <w:spacing w:line="360" w:lineRule="auto"/>
        <w:rPr>
          <w:rFonts w:ascii="宋体" w:hAnsi="宋体" w:eastAsia="宋体" w:cs="宋体"/>
          <w:sz w:val="24"/>
          <w:szCs w:val="24"/>
        </w:rPr>
      </w:pPr>
      <w:r>
        <w:rPr>
          <w:rFonts w:hint="eastAsia" w:ascii="宋体" w:hAnsi="宋体" w:eastAsia="宋体" w:cs="宋体"/>
          <w:sz w:val="24"/>
          <w:szCs w:val="24"/>
        </w:rPr>
        <w:t>②、乙方在甲方施工条件就绪，未按约定工期完工，每逾期一天，由承包人向发包人支付违约金5000元/天；</w:t>
      </w:r>
    </w:p>
    <w:p>
      <w:pPr>
        <w:spacing w:line="360" w:lineRule="auto"/>
        <w:rPr>
          <w:rFonts w:ascii="宋体" w:hAnsi="宋体" w:eastAsia="宋体" w:cs="宋体"/>
          <w:sz w:val="24"/>
          <w:szCs w:val="24"/>
        </w:rPr>
      </w:pPr>
      <w:r>
        <w:rPr>
          <w:rFonts w:hint="eastAsia" w:ascii="宋体" w:hAnsi="宋体" w:eastAsia="宋体" w:cs="宋体"/>
          <w:sz w:val="24"/>
          <w:szCs w:val="24"/>
        </w:rPr>
        <w:t>③、本合同签订后任何一方在未征得另一方同意的前提下均无权单方面解除合同，若因一方原因而使本合同不能正常履行的，违约方须无条件赔偿履约方不低于本合同总价款30%的经济补偿金。</w:t>
      </w:r>
    </w:p>
    <w:p>
      <w:pPr>
        <w:spacing w:line="360" w:lineRule="auto"/>
        <w:rPr>
          <w:rFonts w:ascii="宋体" w:hAnsi="宋体" w:eastAsia="宋体" w:cs="宋体"/>
          <w:sz w:val="24"/>
          <w:szCs w:val="24"/>
        </w:rPr>
      </w:pPr>
      <w:r>
        <w:rPr>
          <w:rFonts w:hint="eastAsia" w:ascii="宋体" w:hAnsi="宋体" w:eastAsia="宋体" w:cs="宋体"/>
          <w:sz w:val="24"/>
          <w:szCs w:val="24"/>
        </w:rPr>
        <w:t>六、其他未尽事项，由甲乙双方另行签订补充协议解决。</w:t>
      </w:r>
    </w:p>
    <w:p>
      <w:pPr>
        <w:spacing w:line="360" w:lineRule="auto"/>
        <w:rPr>
          <w:rFonts w:ascii="宋体" w:hAnsi="宋体" w:eastAsia="宋体" w:cs="宋体"/>
          <w:sz w:val="24"/>
          <w:szCs w:val="24"/>
        </w:rPr>
      </w:pPr>
      <w:r>
        <w:rPr>
          <w:rFonts w:hint="eastAsia" w:ascii="宋体" w:hAnsi="宋体" w:eastAsia="宋体" w:cs="宋体"/>
          <w:sz w:val="24"/>
          <w:szCs w:val="24"/>
        </w:rPr>
        <w:t>七、本合同一式陆份，甲方执肆份，乙方执贰份，经甲乙双方授权代表签字盖章后生效。</w:t>
      </w:r>
    </w:p>
    <w:p>
      <w:pPr>
        <w:spacing w:line="360" w:lineRule="auto"/>
        <w:rPr>
          <w:rFonts w:ascii="宋体" w:hAnsi="宋体" w:eastAsia="宋体" w:cs="宋体"/>
          <w:sz w:val="24"/>
          <w:szCs w:val="24"/>
        </w:rPr>
      </w:pPr>
    </w:p>
    <w:p>
      <w:pPr>
        <w:spacing w:line="360" w:lineRule="auto"/>
        <w:rPr>
          <w:rFonts w:ascii="宋体" w:hAnsi="宋体" w:eastAsia="宋体" w:cs="宋体"/>
          <w:sz w:val="24"/>
          <w:szCs w:val="24"/>
        </w:rPr>
      </w:pPr>
    </w:p>
    <w:p>
      <w:pPr>
        <w:spacing w:line="360" w:lineRule="auto"/>
        <w:rPr>
          <w:rFonts w:ascii="宋体" w:hAnsi="宋体" w:eastAsia="宋体" w:cs="宋体"/>
          <w:sz w:val="24"/>
          <w:szCs w:val="24"/>
        </w:rPr>
      </w:pPr>
    </w:p>
    <w:p>
      <w:pPr>
        <w:spacing w:line="360" w:lineRule="auto"/>
        <w:ind w:left="280"/>
        <w:rPr>
          <w:rFonts w:ascii="Calibri" w:hAnsi="Calibri" w:eastAsia="宋体" w:cs="Times New Roman"/>
          <w:sz w:val="24"/>
        </w:rPr>
      </w:pPr>
      <w:r>
        <w:rPr>
          <w:rFonts w:hint="eastAsia" w:ascii="Calibri" w:hAnsi="Calibri" w:eastAsia="宋体" w:cs="Times New Roman"/>
          <w:sz w:val="24"/>
        </w:rPr>
        <w:t>甲方：</w:t>
      </w:r>
      <w:r>
        <w:rPr>
          <w:rFonts w:hint="eastAsia" w:ascii="Calibri" w:hAnsi="Calibri" w:eastAsia="宋体" w:cs="Times New Roman"/>
          <w:sz w:val="24"/>
          <w:lang w:eastAsia="zh-CN"/>
        </w:rPr>
        <w:t>郑州市蔬菜研究所</w:t>
      </w:r>
      <w:r>
        <w:rPr>
          <w:rFonts w:hint="eastAsia" w:ascii="Calibri" w:hAnsi="Calibri" w:eastAsia="宋体" w:cs="Times New Roman"/>
          <w:sz w:val="24"/>
        </w:rPr>
        <w:tab/>
      </w:r>
      <w:r>
        <w:rPr>
          <w:rFonts w:hint="eastAsia" w:ascii="Calibri" w:hAnsi="Calibri" w:eastAsia="宋体" w:cs="Times New Roman"/>
          <w:sz w:val="24"/>
        </w:rPr>
        <w:tab/>
      </w:r>
      <w:r>
        <w:rPr>
          <w:rFonts w:hint="eastAsia" w:ascii="Calibri" w:hAnsi="Calibri" w:eastAsia="宋体" w:cs="Times New Roman"/>
          <w:sz w:val="24"/>
        </w:rPr>
        <w:t xml:space="preserve">   </w:t>
      </w:r>
      <w:r>
        <w:rPr>
          <w:rFonts w:hint="eastAsia" w:ascii="Calibri" w:hAnsi="Calibri" w:eastAsia="宋体" w:cs="Times New Roman"/>
          <w:sz w:val="24"/>
        </w:rPr>
        <w:tab/>
      </w:r>
      <w:r>
        <w:rPr>
          <w:rFonts w:hint="eastAsia" w:ascii="Calibri" w:hAnsi="Calibri" w:eastAsia="宋体" w:cs="Times New Roman"/>
          <w:sz w:val="24"/>
        </w:rPr>
        <w:t xml:space="preserve">乙方：                   </w:t>
      </w:r>
    </w:p>
    <w:p>
      <w:pPr>
        <w:spacing w:line="360" w:lineRule="auto"/>
        <w:ind w:left="280"/>
        <w:rPr>
          <w:rFonts w:ascii="Calibri" w:hAnsi="Calibri" w:eastAsia="宋体" w:cs="Times New Roman"/>
          <w:sz w:val="24"/>
        </w:rPr>
      </w:pPr>
      <w:r>
        <w:rPr>
          <w:rFonts w:hint="eastAsia" w:ascii="Calibri" w:hAnsi="Calibri" w:eastAsia="宋体" w:cs="Times New Roman"/>
          <w:sz w:val="24"/>
        </w:rPr>
        <w:t>地址：</w:t>
      </w:r>
      <w:r>
        <w:rPr>
          <w:rFonts w:hint="eastAsia" w:ascii="Calibri" w:hAnsi="Calibri" w:eastAsia="宋体" w:cs="Times New Roman"/>
          <w:sz w:val="24"/>
        </w:rPr>
        <w:tab/>
      </w:r>
      <w:r>
        <w:rPr>
          <w:rFonts w:hint="eastAsia" w:ascii="Calibri" w:hAnsi="Calibri" w:eastAsia="宋体" w:cs="Times New Roman"/>
          <w:sz w:val="24"/>
        </w:rPr>
        <w:tab/>
      </w:r>
      <w:r>
        <w:rPr>
          <w:rFonts w:hint="eastAsia" w:ascii="Calibri" w:hAnsi="Calibri" w:eastAsia="宋体" w:cs="Times New Roman"/>
          <w:sz w:val="24"/>
        </w:rPr>
        <w:tab/>
      </w:r>
      <w:r>
        <w:rPr>
          <w:rFonts w:hint="eastAsia" w:ascii="Calibri" w:hAnsi="Calibri" w:eastAsia="宋体" w:cs="Times New Roman"/>
          <w:sz w:val="24"/>
        </w:rPr>
        <w:tab/>
      </w:r>
      <w:r>
        <w:rPr>
          <w:rFonts w:hint="eastAsia" w:ascii="Calibri" w:hAnsi="Calibri" w:eastAsia="宋体" w:cs="Times New Roman"/>
          <w:sz w:val="24"/>
        </w:rPr>
        <w:tab/>
      </w:r>
      <w:r>
        <w:rPr>
          <w:rFonts w:hint="eastAsia" w:ascii="Calibri" w:hAnsi="Calibri" w:eastAsia="宋体" w:cs="Times New Roman"/>
          <w:sz w:val="24"/>
        </w:rPr>
        <w:tab/>
      </w:r>
      <w:r>
        <w:rPr>
          <w:rFonts w:hint="eastAsia" w:ascii="Calibri" w:hAnsi="Calibri" w:eastAsia="宋体" w:cs="Times New Roman"/>
          <w:sz w:val="24"/>
        </w:rPr>
        <w:tab/>
      </w:r>
      <w:r>
        <w:rPr>
          <w:rFonts w:hint="eastAsia" w:ascii="Calibri" w:hAnsi="Calibri" w:eastAsia="宋体" w:cs="Times New Roman"/>
          <w:sz w:val="24"/>
        </w:rPr>
        <w:tab/>
      </w:r>
      <w:r>
        <w:rPr>
          <w:rFonts w:hint="eastAsia" w:ascii="Calibri" w:hAnsi="Calibri" w:eastAsia="宋体" w:cs="Times New Roman"/>
          <w:sz w:val="24"/>
        </w:rPr>
        <w:t xml:space="preserve">  </w:t>
      </w:r>
      <w:r>
        <w:rPr>
          <w:rFonts w:hint="eastAsia" w:ascii="Calibri" w:hAnsi="Calibri" w:eastAsia="宋体" w:cs="Times New Roman"/>
          <w:sz w:val="24"/>
        </w:rPr>
        <w:tab/>
      </w:r>
      <w:r>
        <w:rPr>
          <w:rFonts w:hint="eastAsia" w:ascii="Calibri" w:hAnsi="Calibri" w:eastAsia="宋体" w:cs="Times New Roman"/>
          <w:sz w:val="24"/>
        </w:rPr>
        <w:t xml:space="preserve">地址：  </w:t>
      </w:r>
    </w:p>
    <w:p>
      <w:pPr>
        <w:spacing w:line="360" w:lineRule="auto"/>
        <w:ind w:left="280"/>
        <w:rPr>
          <w:rFonts w:ascii="Calibri" w:hAnsi="Calibri" w:eastAsia="宋体" w:cs="Times New Roman"/>
          <w:sz w:val="24"/>
        </w:rPr>
      </w:pPr>
      <w:r>
        <w:rPr>
          <w:rFonts w:hint="eastAsia" w:ascii="Calibri" w:hAnsi="Calibri" w:eastAsia="宋体" w:cs="Times New Roman"/>
          <w:sz w:val="24"/>
        </w:rPr>
        <w:t xml:space="preserve">法定代表人：                   </w:t>
      </w:r>
      <w:r>
        <w:rPr>
          <w:rFonts w:hint="eastAsia" w:ascii="Calibri" w:hAnsi="Calibri" w:eastAsia="宋体" w:cs="Times New Roman"/>
          <w:sz w:val="24"/>
        </w:rPr>
        <w:tab/>
      </w:r>
      <w:r>
        <w:rPr>
          <w:rFonts w:hint="eastAsia" w:ascii="Calibri" w:hAnsi="Calibri" w:eastAsia="宋体" w:cs="Times New Roman"/>
          <w:sz w:val="24"/>
        </w:rPr>
        <w:t xml:space="preserve">   </w:t>
      </w:r>
      <w:r>
        <w:rPr>
          <w:rFonts w:hint="eastAsia" w:ascii="Calibri" w:hAnsi="Calibri" w:eastAsia="宋体" w:cs="Times New Roman"/>
          <w:sz w:val="24"/>
        </w:rPr>
        <w:tab/>
      </w:r>
      <w:r>
        <w:rPr>
          <w:rFonts w:hint="eastAsia" w:ascii="Calibri" w:hAnsi="Calibri" w:eastAsia="宋体" w:cs="Times New Roman"/>
          <w:sz w:val="24"/>
        </w:rPr>
        <w:t xml:space="preserve">法定代表人： </w:t>
      </w:r>
    </w:p>
    <w:p>
      <w:pPr>
        <w:spacing w:line="360" w:lineRule="auto"/>
        <w:ind w:left="280"/>
        <w:rPr>
          <w:rFonts w:ascii="Calibri" w:hAnsi="Calibri" w:eastAsia="宋体" w:cs="Times New Roman"/>
          <w:sz w:val="24"/>
        </w:rPr>
      </w:pPr>
      <w:r>
        <w:rPr>
          <w:rFonts w:hint="eastAsia" w:ascii="Calibri" w:hAnsi="Calibri" w:eastAsia="宋体" w:cs="Times New Roman"/>
          <w:sz w:val="24"/>
        </w:rPr>
        <w:t xml:space="preserve">委托代理人：                 </w:t>
      </w:r>
      <w:r>
        <w:rPr>
          <w:rFonts w:hint="eastAsia" w:ascii="Calibri" w:hAnsi="Calibri" w:eastAsia="宋体" w:cs="Times New Roman"/>
          <w:sz w:val="24"/>
        </w:rPr>
        <w:tab/>
      </w:r>
      <w:r>
        <w:rPr>
          <w:rFonts w:hint="eastAsia" w:ascii="Calibri" w:hAnsi="Calibri" w:eastAsia="宋体" w:cs="Times New Roman"/>
          <w:sz w:val="24"/>
        </w:rPr>
        <w:t xml:space="preserve">      </w:t>
      </w:r>
      <w:r>
        <w:rPr>
          <w:rFonts w:hint="eastAsia" w:ascii="Calibri" w:hAnsi="Calibri" w:eastAsia="宋体" w:cs="Times New Roman"/>
          <w:sz w:val="24"/>
        </w:rPr>
        <w:tab/>
      </w:r>
      <w:r>
        <w:rPr>
          <w:rFonts w:hint="eastAsia" w:ascii="Calibri" w:hAnsi="Calibri" w:eastAsia="宋体" w:cs="Times New Roman"/>
          <w:sz w:val="24"/>
        </w:rPr>
        <w:t xml:space="preserve">委托代理人： </w:t>
      </w:r>
    </w:p>
    <w:p>
      <w:pPr>
        <w:spacing w:line="360" w:lineRule="auto"/>
        <w:ind w:left="280"/>
        <w:rPr>
          <w:rFonts w:ascii="Calibri" w:hAnsi="Calibri" w:eastAsia="宋体" w:cs="Times New Roman"/>
          <w:sz w:val="24"/>
        </w:rPr>
      </w:pPr>
      <w:r>
        <w:rPr>
          <w:rFonts w:hint="eastAsia" w:ascii="Calibri" w:hAnsi="Calibri" w:eastAsia="宋体" w:cs="Times New Roman"/>
          <w:sz w:val="24"/>
        </w:rPr>
        <w:t xml:space="preserve">电话：        </w:t>
      </w:r>
      <w:r>
        <w:rPr>
          <w:rFonts w:hint="eastAsia" w:ascii="Calibri" w:hAnsi="Calibri" w:eastAsia="宋体" w:cs="Times New Roman"/>
          <w:sz w:val="24"/>
        </w:rPr>
        <w:tab/>
      </w:r>
      <w:r>
        <w:rPr>
          <w:rFonts w:hint="eastAsia" w:ascii="Calibri" w:hAnsi="Calibri" w:eastAsia="宋体" w:cs="Times New Roman"/>
          <w:sz w:val="24"/>
        </w:rPr>
        <w:tab/>
      </w:r>
      <w:r>
        <w:rPr>
          <w:rFonts w:hint="eastAsia" w:ascii="Calibri" w:hAnsi="Calibri" w:eastAsia="宋体" w:cs="Times New Roman"/>
          <w:sz w:val="24"/>
        </w:rPr>
        <w:tab/>
      </w:r>
      <w:r>
        <w:rPr>
          <w:rFonts w:hint="eastAsia" w:ascii="Calibri" w:hAnsi="Calibri" w:eastAsia="宋体" w:cs="Times New Roman"/>
          <w:sz w:val="24"/>
        </w:rPr>
        <w:tab/>
      </w:r>
      <w:r>
        <w:rPr>
          <w:rFonts w:hint="eastAsia" w:ascii="Calibri" w:hAnsi="Calibri" w:eastAsia="宋体" w:cs="Times New Roman"/>
          <w:sz w:val="24"/>
        </w:rPr>
        <w:t xml:space="preserve">      </w:t>
      </w:r>
      <w:r>
        <w:rPr>
          <w:rFonts w:hint="eastAsia" w:ascii="Calibri" w:hAnsi="Calibri" w:eastAsia="宋体" w:cs="Times New Roman"/>
          <w:sz w:val="24"/>
        </w:rPr>
        <w:tab/>
      </w:r>
      <w:r>
        <w:rPr>
          <w:rFonts w:hint="eastAsia" w:ascii="Calibri" w:hAnsi="Calibri" w:eastAsia="宋体" w:cs="Times New Roman"/>
          <w:sz w:val="24"/>
        </w:rPr>
        <w:tab/>
      </w:r>
      <w:r>
        <w:rPr>
          <w:rFonts w:hint="eastAsia" w:ascii="Calibri" w:hAnsi="Calibri" w:eastAsia="宋体" w:cs="Times New Roman"/>
          <w:sz w:val="24"/>
        </w:rPr>
        <w:t xml:space="preserve">电话： </w:t>
      </w:r>
    </w:p>
    <w:p>
      <w:pPr>
        <w:spacing w:line="360" w:lineRule="auto"/>
        <w:ind w:left="280"/>
        <w:rPr>
          <w:rFonts w:ascii="Calibri" w:hAnsi="Calibri" w:eastAsia="宋体" w:cs="Times New Roman"/>
          <w:sz w:val="24"/>
        </w:rPr>
      </w:pPr>
      <w:r>
        <w:rPr>
          <w:rFonts w:hint="eastAsia" w:ascii="Calibri" w:hAnsi="Calibri" w:eastAsia="宋体" w:cs="Times New Roman"/>
          <w:sz w:val="24"/>
        </w:rPr>
        <w:t xml:space="preserve">开户银行：          </w:t>
      </w:r>
      <w:r>
        <w:rPr>
          <w:rFonts w:hint="eastAsia" w:ascii="Calibri" w:hAnsi="Calibri" w:eastAsia="宋体" w:cs="Times New Roman"/>
          <w:sz w:val="24"/>
        </w:rPr>
        <w:tab/>
      </w:r>
      <w:r>
        <w:rPr>
          <w:rFonts w:hint="eastAsia" w:ascii="Calibri" w:hAnsi="Calibri" w:eastAsia="宋体" w:cs="Times New Roman"/>
          <w:sz w:val="24"/>
        </w:rPr>
        <w:t xml:space="preserve">   </w:t>
      </w:r>
      <w:r>
        <w:rPr>
          <w:rFonts w:hint="eastAsia" w:ascii="Calibri" w:hAnsi="Calibri" w:eastAsia="宋体" w:cs="Times New Roman"/>
          <w:sz w:val="24"/>
        </w:rPr>
        <w:tab/>
      </w:r>
      <w:r>
        <w:rPr>
          <w:rFonts w:hint="eastAsia" w:ascii="Calibri" w:hAnsi="Calibri" w:eastAsia="宋体" w:cs="Times New Roman"/>
          <w:sz w:val="24"/>
        </w:rPr>
        <w:tab/>
      </w:r>
      <w:r>
        <w:rPr>
          <w:rFonts w:hint="eastAsia" w:ascii="Calibri" w:hAnsi="Calibri" w:eastAsia="宋体" w:cs="Times New Roman"/>
          <w:sz w:val="24"/>
        </w:rPr>
        <w:tab/>
      </w:r>
      <w:r>
        <w:rPr>
          <w:rFonts w:hint="eastAsia" w:ascii="Calibri" w:hAnsi="Calibri" w:eastAsia="宋体" w:cs="Times New Roman"/>
          <w:sz w:val="24"/>
        </w:rPr>
        <w:tab/>
      </w:r>
      <w:r>
        <w:rPr>
          <w:rFonts w:hint="eastAsia" w:ascii="Calibri" w:hAnsi="Calibri" w:eastAsia="宋体" w:cs="Times New Roman"/>
          <w:sz w:val="24"/>
        </w:rPr>
        <w:t xml:space="preserve">开户银行： </w:t>
      </w:r>
    </w:p>
    <w:p>
      <w:pPr>
        <w:spacing w:line="360" w:lineRule="auto"/>
        <w:ind w:left="280"/>
        <w:rPr>
          <w:rFonts w:ascii="Calibri" w:hAnsi="Calibri" w:eastAsia="宋体" w:cs="Times New Roman"/>
          <w:sz w:val="24"/>
        </w:rPr>
      </w:pPr>
      <w:r>
        <w:rPr>
          <w:rFonts w:hint="eastAsia" w:ascii="Calibri" w:hAnsi="Calibri" w:eastAsia="宋体" w:cs="Times New Roman"/>
          <w:sz w:val="24"/>
        </w:rPr>
        <w:t>银行账号：</w:t>
      </w:r>
      <w:r>
        <w:rPr>
          <w:rFonts w:hint="eastAsia" w:ascii="Calibri" w:hAnsi="Calibri" w:eastAsia="宋体" w:cs="Times New Roman"/>
          <w:sz w:val="24"/>
        </w:rPr>
        <w:tab/>
      </w:r>
      <w:r>
        <w:rPr>
          <w:rFonts w:hint="eastAsia" w:ascii="Calibri" w:hAnsi="Calibri" w:eastAsia="宋体" w:cs="Times New Roman"/>
          <w:sz w:val="24"/>
        </w:rPr>
        <w:tab/>
      </w:r>
      <w:r>
        <w:rPr>
          <w:rFonts w:hint="eastAsia" w:ascii="Calibri" w:hAnsi="Calibri" w:eastAsia="宋体" w:cs="Times New Roman"/>
          <w:sz w:val="24"/>
        </w:rPr>
        <w:tab/>
      </w:r>
      <w:r>
        <w:rPr>
          <w:rFonts w:hint="eastAsia" w:ascii="Calibri" w:hAnsi="Calibri" w:eastAsia="宋体" w:cs="Times New Roman"/>
          <w:sz w:val="24"/>
        </w:rPr>
        <w:tab/>
      </w:r>
      <w:r>
        <w:rPr>
          <w:rFonts w:hint="eastAsia" w:ascii="Calibri" w:hAnsi="Calibri" w:eastAsia="宋体" w:cs="Times New Roman"/>
          <w:sz w:val="24"/>
        </w:rPr>
        <w:tab/>
      </w:r>
      <w:r>
        <w:rPr>
          <w:rFonts w:hint="eastAsia" w:ascii="Calibri" w:hAnsi="Calibri" w:eastAsia="宋体" w:cs="Times New Roman"/>
          <w:sz w:val="24"/>
        </w:rPr>
        <w:t xml:space="preserve"> </w:t>
      </w:r>
      <w:r>
        <w:rPr>
          <w:rFonts w:hint="eastAsia" w:ascii="Calibri" w:hAnsi="Calibri" w:eastAsia="宋体" w:cs="Times New Roman"/>
          <w:sz w:val="24"/>
        </w:rPr>
        <w:tab/>
      </w:r>
      <w:r>
        <w:rPr>
          <w:rFonts w:hint="eastAsia" w:ascii="Calibri" w:hAnsi="Calibri" w:eastAsia="宋体" w:cs="Times New Roman"/>
          <w:sz w:val="24"/>
        </w:rPr>
        <w:t xml:space="preserve">      银行账号：  </w:t>
      </w:r>
    </w:p>
    <w:p>
      <w:pPr>
        <w:spacing w:line="360" w:lineRule="auto"/>
        <w:ind w:left="280"/>
        <w:rPr>
          <w:rFonts w:ascii="Calibri" w:hAnsi="Calibri" w:eastAsia="宋体" w:cs="Times New Roman"/>
          <w:sz w:val="24"/>
        </w:rPr>
      </w:pPr>
      <w:r>
        <w:rPr>
          <w:rFonts w:hint="eastAsia" w:ascii="Calibri" w:hAnsi="Calibri" w:eastAsia="宋体" w:cs="Times New Roman"/>
          <w:sz w:val="24"/>
        </w:rPr>
        <w:t>纳税人识别号：</w:t>
      </w:r>
      <w:r>
        <w:rPr>
          <w:rFonts w:hint="eastAsia" w:ascii="Calibri" w:hAnsi="Calibri" w:eastAsia="宋体" w:cs="Times New Roman"/>
          <w:sz w:val="24"/>
        </w:rPr>
        <w:tab/>
      </w:r>
      <w:r>
        <w:rPr>
          <w:rFonts w:hint="eastAsia" w:ascii="Calibri" w:hAnsi="Calibri" w:eastAsia="宋体" w:cs="Times New Roman"/>
          <w:sz w:val="24"/>
        </w:rPr>
        <w:tab/>
      </w:r>
      <w:r>
        <w:rPr>
          <w:rFonts w:hint="eastAsia" w:ascii="Calibri" w:hAnsi="Calibri" w:eastAsia="宋体" w:cs="Times New Roman"/>
          <w:sz w:val="24"/>
        </w:rPr>
        <w:tab/>
      </w:r>
      <w:r>
        <w:rPr>
          <w:rFonts w:hint="eastAsia" w:ascii="Calibri" w:hAnsi="Calibri" w:eastAsia="宋体" w:cs="Times New Roman"/>
          <w:sz w:val="24"/>
        </w:rPr>
        <w:tab/>
      </w:r>
      <w:r>
        <w:rPr>
          <w:rFonts w:hint="eastAsia" w:ascii="Calibri" w:hAnsi="Calibri" w:eastAsia="宋体" w:cs="Times New Roman"/>
          <w:sz w:val="24"/>
        </w:rPr>
        <w:tab/>
      </w:r>
      <w:r>
        <w:rPr>
          <w:rFonts w:hint="eastAsia" w:ascii="Calibri" w:hAnsi="Calibri" w:eastAsia="宋体" w:cs="Times New Roman"/>
          <w:sz w:val="24"/>
        </w:rPr>
        <w:tab/>
      </w:r>
      <w:r>
        <w:rPr>
          <w:rFonts w:hint="eastAsia" w:ascii="Calibri" w:hAnsi="Calibri" w:eastAsia="宋体" w:cs="Times New Roman"/>
          <w:sz w:val="24"/>
        </w:rPr>
        <w:t xml:space="preserve">  统一社会信用代码： </w:t>
      </w:r>
    </w:p>
    <w:p>
      <w:pPr>
        <w:spacing w:line="360" w:lineRule="auto"/>
        <w:ind w:left="280"/>
        <w:rPr>
          <w:rFonts w:ascii="Calibri" w:hAnsi="Calibri" w:eastAsia="宋体" w:cs="Times New Roman"/>
          <w:sz w:val="24"/>
        </w:rPr>
      </w:pPr>
    </w:p>
    <w:p>
      <w:pPr>
        <w:spacing w:line="360" w:lineRule="auto"/>
        <w:ind w:left="280"/>
        <w:jc w:val="right"/>
        <w:rPr>
          <w:rFonts w:ascii="Calibri" w:hAnsi="Calibri" w:eastAsia="宋体" w:cs="Times New Roman"/>
          <w:sz w:val="24"/>
        </w:rPr>
      </w:pPr>
      <w:r>
        <w:rPr>
          <w:rFonts w:hint="eastAsia" w:ascii="Calibri" w:hAnsi="Calibri" w:eastAsia="宋体" w:cs="Times New Roman"/>
          <w:sz w:val="24"/>
        </w:rPr>
        <w:t xml:space="preserve"> 年    月   日</w:t>
      </w:r>
    </w:p>
    <w:p>
      <w:pPr>
        <w:widowControl/>
        <w:jc w:val="left"/>
        <w:rPr>
          <w:rFonts w:ascii="宋体" w:hAnsi="宋体" w:eastAsia="宋体" w:cs="宋体"/>
          <w:sz w:val="24"/>
          <w:szCs w:val="24"/>
        </w:rPr>
      </w:pPr>
      <w:r>
        <w:rPr>
          <w:rFonts w:ascii="宋体" w:hAnsi="宋体" w:eastAsia="宋体" w:cs="宋体"/>
          <w:sz w:val="24"/>
          <w:szCs w:val="24"/>
        </w:rPr>
        <w:br w:type="page"/>
      </w:r>
    </w:p>
    <w:p>
      <w:pPr>
        <w:pStyle w:val="3"/>
        <w:jc w:val="center"/>
        <w:rPr>
          <w:sz w:val="32"/>
        </w:rPr>
      </w:pPr>
      <w:bookmarkStart w:id="36" w:name="_Toc43371491"/>
      <w:r>
        <w:rPr>
          <w:rFonts w:hint="eastAsia"/>
          <w:sz w:val="32"/>
        </w:rPr>
        <w:t>第五章工程量清单</w:t>
      </w:r>
      <w:bookmarkEnd w:id="36"/>
    </w:p>
    <w:p>
      <w:pPr>
        <w:pStyle w:val="4"/>
        <w:spacing w:before="0" w:after="0"/>
        <w:ind w:left="0" w:firstLine="0"/>
        <w:jc w:val="left"/>
        <w:rPr>
          <w:bCs/>
          <w:kern w:val="44"/>
          <w:sz w:val="28"/>
        </w:rPr>
      </w:pPr>
    </w:p>
    <w:p>
      <w:pPr>
        <w:pStyle w:val="5"/>
      </w:pPr>
      <w:r>
        <w:rPr>
          <w:rFonts w:hint="eastAsia"/>
        </w:rPr>
        <w:t>详见 附件：工程量清单</w:t>
      </w:r>
    </w:p>
    <w:p>
      <w:pPr>
        <w:pStyle w:val="5"/>
      </w:pPr>
    </w:p>
    <w:p>
      <w:pPr>
        <w:pStyle w:val="5"/>
      </w:pPr>
    </w:p>
    <w:p>
      <w:pPr>
        <w:pStyle w:val="5"/>
      </w:pPr>
    </w:p>
    <w:p>
      <w:pPr>
        <w:spacing w:line="360" w:lineRule="auto"/>
        <w:jc w:val="center"/>
        <w:rPr>
          <w:rFonts w:hint="eastAsia"/>
          <w:b/>
          <w:sz w:val="30"/>
          <w:szCs w:val="30"/>
        </w:rPr>
      </w:pPr>
    </w:p>
    <w:p>
      <w:pPr>
        <w:spacing w:line="360" w:lineRule="auto"/>
        <w:jc w:val="center"/>
        <w:rPr>
          <w:rFonts w:hint="eastAsia"/>
          <w:b/>
          <w:sz w:val="30"/>
          <w:szCs w:val="30"/>
        </w:rPr>
      </w:pPr>
    </w:p>
    <w:p>
      <w:pPr>
        <w:spacing w:line="360" w:lineRule="auto"/>
        <w:jc w:val="center"/>
        <w:rPr>
          <w:rFonts w:hint="eastAsia"/>
          <w:b/>
          <w:sz w:val="30"/>
          <w:szCs w:val="30"/>
        </w:rPr>
      </w:pPr>
    </w:p>
    <w:p>
      <w:pPr>
        <w:spacing w:line="360" w:lineRule="auto"/>
        <w:jc w:val="center"/>
        <w:rPr>
          <w:rFonts w:hint="eastAsia"/>
          <w:b/>
          <w:sz w:val="30"/>
          <w:szCs w:val="30"/>
        </w:rPr>
      </w:pPr>
    </w:p>
    <w:p>
      <w:pPr>
        <w:spacing w:line="360" w:lineRule="auto"/>
        <w:jc w:val="center"/>
        <w:rPr>
          <w:rFonts w:hint="eastAsia"/>
          <w:b/>
          <w:sz w:val="30"/>
          <w:szCs w:val="30"/>
        </w:rPr>
      </w:pPr>
    </w:p>
    <w:p>
      <w:pPr>
        <w:spacing w:line="360" w:lineRule="auto"/>
        <w:jc w:val="center"/>
        <w:rPr>
          <w:rFonts w:hint="eastAsia"/>
          <w:b/>
          <w:sz w:val="30"/>
          <w:szCs w:val="30"/>
        </w:rPr>
      </w:pPr>
    </w:p>
    <w:p>
      <w:pPr>
        <w:spacing w:line="360" w:lineRule="auto"/>
        <w:jc w:val="center"/>
        <w:rPr>
          <w:rFonts w:hint="eastAsia"/>
          <w:b/>
          <w:sz w:val="30"/>
          <w:szCs w:val="30"/>
        </w:rPr>
      </w:pPr>
    </w:p>
    <w:p>
      <w:pPr>
        <w:spacing w:line="360" w:lineRule="auto"/>
        <w:jc w:val="center"/>
        <w:rPr>
          <w:rFonts w:hint="eastAsia"/>
          <w:b/>
          <w:sz w:val="30"/>
          <w:szCs w:val="30"/>
        </w:rPr>
      </w:pPr>
    </w:p>
    <w:p>
      <w:pPr>
        <w:spacing w:line="360" w:lineRule="auto"/>
        <w:jc w:val="center"/>
        <w:rPr>
          <w:rFonts w:hint="eastAsia"/>
          <w:b/>
          <w:sz w:val="30"/>
          <w:szCs w:val="30"/>
        </w:rPr>
      </w:pPr>
    </w:p>
    <w:p>
      <w:pPr>
        <w:spacing w:line="360" w:lineRule="auto"/>
        <w:jc w:val="center"/>
        <w:rPr>
          <w:rFonts w:hint="eastAsia"/>
          <w:b/>
          <w:sz w:val="30"/>
          <w:szCs w:val="30"/>
        </w:rPr>
      </w:pPr>
    </w:p>
    <w:p>
      <w:pPr>
        <w:spacing w:line="360" w:lineRule="auto"/>
        <w:jc w:val="center"/>
        <w:rPr>
          <w:rFonts w:hint="eastAsia"/>
          <w:b/>
          <w:sz w:val="30"/>
          <w:szCs w:val="30"/>
        </w:rPr>
      </w:pPr>
    </w:p>
    <w:p>
      <w:pPr>
        <w:spacing w:line="360" w:lineRule="auto"/>
        <w:jc w:val="center"/>
        <w:rPr>
          <w:rFonts w:hint="eastAsia"/>
          <w:b/>
          <w:sz w:val="30"/>
          <w:szCs w:val="30"/>
        </w:rPr>
      </w:pPr>
    </w:p>
    <w:p>
      <w:pPr>
        <w:spacing w:line="360" w:lineRule="auto"/>
        <w:jc w:val="center"/>
        <w:rPr>
          <w:rFonts w:hint="eastAsia"/>
          <w:b/>
          <w:sz w:val="30"/>
          <w:szCs w:val="30"/>
        </w:rPr>
      </w:pPr>
    </w:p>
    <w:p>
      <w:pPr>
        <w:spacing w:line="360" w:lineRule="auto"/>
        <w:jc w:val="center"/>
        <w:rPr>
          <w:rFonts w:hint="eastAsia"/>
          <w:b/>
          <w:sz w:val="30"/>
          <w:szCs w:val="30"/>
        </w:rPr>
      </w:pPr>
    </w:p>
    <w:p>
      <w:pPr>
        <w:spacing w:line="360" w:lineRule="auto"/>
        <w:jc w:val="center"/>
        <w:rPr>
          <w:rFonts w:hint="eastAsia"/>
          <w:b/>
          <w:sz w:val="30"/>
          <w:szCs w:val="30"/>
        </w:rPr>
      </w:pPr>
    </w:p>
    <w:p>
      <w:pPr>
        <w:spacing w:line="360" w:lineRule="auto"/>
        <w:jc w:val="center"/>
        <w:rPr>
          <w:rFonts w:hint="eastAsia"/>
          <w:b/>
          <w:sz w:val="30"/>
          <w:szCs w:val="30"/>
        </w:rPr>
      </w:pPr>
    </w:p>
    <w:p>
      <w:pPr>
        <w:spacing w:line="360" w:lineRule="auto"/>
        <w:jc w:val="center"/>
        <w:rPr>
          <w:rFonts w:hint="eastAsia"/>
          <w:b/>
          <w:sz w:val="30"/>
          <w:szCs w:val="30"/>
        </w:rPr>
      </w:pPr>
    </w:p>
    <w:p>
      <w:pPr>
        <w:pStyle w:val="288"/>
        <w:rPr>
          <w:lang w:eastAsia="zh-CN"/>
        </w:rPr>
      </w:pPr>
      <w:bookmarkStart w:id="37" w:name="_Toc486001932"/>
      <w:bookmarkStart w:id="38" w:name="_Toc487022875"/>
      <w:r>
        <w:rPr>
          <w:lang w:eastAsia="zh-CN"/>
        </w:rPr>
        <w:t>1．</w:t>
      </w:r>
      <w:r>
        <w:rPr>
          <w:rFonts w:hint="eastAsia"/>
          <w:lang w:eastAsia="zh-CN"/>
        </w:rPr>
        <w:t>工程量清单说明</w:t>
      </w:r>
      <w:bookmarkEnd w:id="37"/>
      <w:bookmarkEnd w:id="38"/>
    </w:p>
    <w:p>
      <w:pPr>
        <w:autoSpaceDE w:val="0"/>
        <w:autoSpaceDN w:val="0"/>
        <w:adjustRightInd w:val="0"/>
        <w:spacing w:line="360" w:lineRule="auto"/>
        <w:ind w:firstLine="420" w:firstLineChars="200"/>
        <w:jc w:val="left"/>
        <w:rPr>
          <w:rFonts w:ascii="宋体" w:hAnsi="宋体" w:cs="仿宋_GB2312"/>
          <w:kern w:val="0"/>
          <w:szCs w:val="21"/>
        </w:rPr>
      </w:pPr>
      <w:r>
        <w:rPr>
          <w:rFonts w:ascii="宋体" w:hAnsi="宋体" w:cs="TimesNewRomanPSMT"/>
          <w:kern w:val="0"/>
          <w:szCs w:val="21"/>
        </w:rPr>
        <w:t>1</w:t>
      </w:r>
      <w:r>
        <w:rPr>
          <w:rFonts w:hint="eastAsia" w:ascii="宋体" w:hAnsi="宋体" w:cs="TimesNewRomanPSMT"/>
          <w:kern w:val="0"/>
          <w:szCs w:val="21"/>
        </w:rPr>
        <w:t>.</w:t>
      </w:r>
      <w:r>
        <w:rPr>
          <w:rFonts w:ascii="宋体" w:hAnsi="宋体" w:cs="TimesNewRomanPSMT"/>
          <w:kern w:val="0"/>
          <w:szCs w:val="21"/>
        </w:rPr>
        <w:t xml:space="preserve">1 </w:t>
      </w:r>
      <w:r>
        <w:rPr>
          <w:rFonts w:hint="eastAsia" w:ascii="宋体" w:hAnsi="宋体" w:cs="仿宋_GB2312"/>
          <w:kern w:val="0"/>
          <w:szCs w:val="21"/>
        </w:rPr>
        <w:t>本工程量清单是根据招标文件中包括的、有合同约束力的图纸以及有关工程量清单的国家标准、行业标准、合同条款中约定的工程量计算规则编制。约定计量规则中没有的子目，其工程量按照有合同约束力的图纸所标示尺寸的理论净量计算。计量采用中华人民共和国法定计量单位。</w:t>
      </w:r>
    </w:p>
    <w:p>
      <w:pPr>
        <w:autoSpaceDE w:val="0"/>
        <w:autoSpaceDN w:val="0"/>
        <w:adjustRightInd w:val="0"/>
        <w:spacing w:line="360" w:lineRule="auto"/>
        <w:ind w:firstLine="420" w:firstLineChars="200"/>
        <w:jc w:val="left"/>
        <w:rPr>
          <w:rFonts w:ascii="宋体" w:hAnsi="宋体" w:cs="仿宋_GB2312"/>
          <w:kern w:val="0"/>
          <w:szCs w:val="21"/>
        </w:rPr>
      </w:pPr>
      <w:r>
        <w:rPr>
          <w:rFonts w:ascii="宋体" w:hAnsi="宋体" w:cs="TimesNewRomanPSMT"/>
          <w:kern w:val="0"/>
          <w:szCs w:val="21"/>
        </w:rPr>
        <w:t>1</w:t>
      </w:r>
      <w:r>
        <w:rPr>
          <w:rFonts w:hint="eastAsia" w:ascii="宋体" w:hAnsi="宋体" w:cs="TimesNewRomanPSMT"/>
          <w:kern w:val="0"/>
          <w:szCs w:val="21"/>
        </w:rPr>
        <w:t>.</w:t>
      </w:r>
      <w:r>
        <w:rPr>
          <w:rFonts w:ascii="宋体" w:hAnsi="宋体" w:cs="TimesNewRomanPSMT"/>
          <w:kern w:val="0"/>
          <w:szCs w:val="21"/>
        </w:rPr>
        <w:t xml:space="preserve">2 </w:t>
      </w:r>
      <w:r>
        <w:rPr>
          <w:rFonts w:hint="eastAsia" w:ascii="宋体" w:hAnsi="宋体" w:cs="仿宋_GB2312"/>
          <w:kern w:val="0"/>
          <w:szCs w:val="21"/>
        </w:rPr>
        <w:t>本工程量清单应与招标文件中的投标人须知、通用合同条款、专用合同条款、技术标准和要求及图纸等一起阅读和理解。</w:t>
      </w:r>
    </w:p>
    <w:p>
      <w:pPr>
        <w:autoSpaceDE w:val="0"/>
        <w:autoSpaceDN w:val="0"/>
        <w:adjustRightInd w:val="0"/>
        <w:spacing w:line="360" w:lineRule="auto"/>
        <w:ind w:firstLine="420" w:firstLineChars="200"/>
        <w:jc w:val="left"/>
        <w:rPr>
          <w:rFonts w:ascii="宋体" w:hAnsi="宋体" w:cs="仿宋_GB2312"/>
          <w:kern w:val="0"/>
          <w:szCs w:val="21"/>
        </w:rPr>
      </w:pPr>
      <w:r>
        <w:rPr>
          <w:rFonts w:ascii="宋体" w:hAnsi="宋体" w:cs="TimesNewRomanPSMT"/>
          <w:kern w:val="0"/>
          <w:szCs w:val="21"/>
        </w:rPr>
        <w:t>1</w:t>
      </w:r>
      <w:r>
        <w:rPr>
          <w:rFonts w:hint="eastAsia" w:ascii="宋体" w:hAnsi="宋体" w:cs="TimesNewRomanPSMT"/>
          <w:kern w:val="0"/>
          <w:szCs w:val="21"/>
        </w:rPr>
        <w:t>.</w:t>
      </w:r>
      <w:r>
        <w:rPr>
          <w:rFonts w:ascii="宋体" w:hAnsi="宋体" w:cs="TimesNewRomanPSMT"/>
          <w:kern w:val="0"/>
          <w:szCs w:val="21"/>
        </w:rPr>
        <w:t xml:space="preserve">3 </w:t>
      </w:r>
      <w:r>
        <w:rPr>
          <w:rFonts w:hint="eastAsia" w:ascii="宋体" w:hAnsi="宋体" w:cs="仿宋_GB2312"/>
          <w:kern w:val="0"/>
          <w:szCs w:val="21"/>
        </w:rPr>
        <w:t>本工程量清单仅是投标报价的共同基础，实际工程计量和工程价款的支付应遵循合同条款的约定和第六章“技术标准和要求”的有关规定。</w:t>
      </w:r>
    </w:p>
    <w:p>
      <w:pPr>
        <w:pStyle w:val="288"/>
        <w:rPr>
          <w:lang w:eastAsia="zh-CN"/>
        </w:rPr>
      </w:pPr>
      <w:bookmarkStart w:id="39" w:name="_Toc486001933"/>
      <w:bookmarkStart w:id="40" w:name="_Toc487022876"/>
      <w:r>
        <w:rPr>
          <w:lang w:eastAsia="zh-CN"/>
        </w:rPr>
        <w:t>2．</w:t>
      </w:r>
      <w:r>
        <w:rPr>
          <w:rFonts w:hint="eastAsia"/>
          <w:lang w:eastAsia="zh-CN"/>
        </w:rPr>
        <w:t>报价说明</w:t>
      </w:r>
      <w:bookmarkEnd w:id="39"/>
      <w:bookmarkEnd w:id="40"/>
    </w:p>
    <w:p>
      <w:pPr>
        <w:autoSpaceDE w:val="0"/>
        <w:autoSpaceDN w:val="0"/>
        <w:adjustRightInd w:val="0"/>
        <w:spacing w:line="360" w:lineRule="auto"/>
        <w:ind w:firstLine="420" w:firstLineChars="200"/>
        <w:jc w:val="left"/>
        <w:rPr>
          <w:rFonts w:ascii="宋体" w:hAnsi="宋体" w:cs="TimesNewRomanPSMT"/>
          <w:kern w:val="0"/>
          <w:szCs w:val="21"/>
        </w:rPr>
      </w:pPr>
      <w:r>
        <w:rPr>
          <w:rFonts w:hint="eastAsia" w:ascii="宋体" w:hAnsi="宋体" w:cs="TimesNewRomanPSMT"/>
          <w:kern w:val="0"/>
          <w:szCs w:val="21"/>
        </w:rPr>
        <w:t xml:space="preserve">2.1 </w:t>
      </w:r>
      <w:r>
        <w:rPr>
          <w:rFonts w:hint="eastAsia" w:ascii="宋体" w:hAnsi="宋体" w:cs="仿宋_GB2312"/>
          <w:kern w:val="0"/>
          <w:szCs w:val="21"/>
        </w:rPr>
        <w:t>工程量清单中的每一子目须填入单价或价格，且只允许有一个报价</w:t>
      </w:r>
      <w:r>
        <w:rPr>
          <w:rFonts w:hint="eastAsia" w:ascii="宋体" w:hAnsi="宋体" w:cs="TimesNewRomanPSMT"/>
          <w:kern w:val="0"/>
          <w:szCs w:val="21"/>
        </w:rPr>
        <w:t>。</w:t>
      </w:r>
    </w:p>
    <w:p>
      <w:pPr>
        <w:autoSpaceDE w:val="0"/>
        <w:autoSpaceDN w:val="0"/>
        <w:adjustRightInd w:val="0"/>
        <w:spacing w:line="360" w:lineRule="auto"/>
        <w:ind w:firstLine="420" w:firstLineChars="200"/>
        <w:jc w:val="left"/>
        <w:rPr>
          <w:rFonts w:ascii="宋体" w:hAnsi="宋体" w:cs="TimesNewRomanPSMT"/>
          <w:kern w:val="0"/>
          <w:szCs w:val="21"/>
        </w:rPr>
      </w:pPr>
      <w:r>
        <w:rPr>
          <w:rFonts w:hint="eastAsia" w:ascii="宋体" w:hAnsi="宋体" w:cs="TimesNewRomanPSMT"/>
          <w:kern w:val="0"/>
          <w:szCs w:val="21"/>
        </w:rPr>
        <w:t>2.2 报价中应包括安全生产费、所需人工费、施工机械使用费、材料费、其他（运杂费、质检费、安装费、缺陷修复费、保险费、协调费、赔补费，以及合同明示或暗示的风险、责任和义务等），以及管理费、利润等。</w:t>
      </w:r>
    </w:p>
    <w:p>
      <w:pPr>
        <w:autoSpaceDE w:val="0"/>
        <w:autoSpaceDN w:val="0"/>
        <w:adjustRightInd w:val="0"/>
        <w:spacing w:line="360" w:lineRule="auto"/>
        <w:ind w:firstLine="420" w:firstLineChars="200"/>
        <w:jc w:val="left"/>
        <w:rPr>
          <w:rFonts w:ascii="宋体" w:hAnsi="宋体" w:cs="TimesNewRomanPSMT"/>
          <w:kern w:val="0"/>
          <w:szCs w:val="21"/>
        </w:rPr>
      </w:pPr>
      <w:r>
        <w:rPr>
          <w:rFonts w:hint="eastAsia" w:ascii="宋体" w:hAnsi="宋体" w:cs="TimesNewRomanPSMT"/>
          <w:kern w:val="0"/>
          <w:szCs w:val="21"/>
        </w:rPr>
        <w:t>2.3 工程量清单中投标人没有填入单价或价格的子目，其费用视为已分摊在工程量清单中其他相关子目的单价或价格之中。</w:t>
      </w:r>
    </w:p>
    <w:p>
      <w:pPr>
        <w:autoSpaceDE w:val="0"/>
        <w:autoSpaceDN w:val="0"/>
        <w:adjustRightInd w:val="0"/>
        <w:spacing w:line="360" w:lineRule="auto"/>
        <w:ind w:firstLine="420" w:firstLineChars="200"/>
        <w:jc w:val="left"/>
        <w:rPr>
          <w:rFonts w:ascii="宋体" w:hAnsi="宋体" w:cs="TimesNewRomanPSMT"/>
          <w:kern w:val="0"/>
          <w:szCs w:val="21"/>
        </w:rPr>
      </w:pPr>
      <w:r>
        <w:rPr>
          <w:rFonts w:hint="eastAsia" w:ascii="宋体" w:hAnsi="宋体" w:cs="TimesNewRomanPSMT"/>
          <w:kern w:val="0"/>
          <w:szCs w:val="21"/>
        </w:rPr>
        <w:t>2.4</w:t>
      </w:r>
      <w:r>
        <w:rPr>
          <w:rFonts w:hint="eastAsia" w:ascii="宋体" w:hAnsi="宋体" w:cs="仿宋_GB2312"/>
          <w:kern w:val="0"/>
          <w:szCs w:val="21"/>
        </w:rPr>
        <w:t xml:space="preserve"> 本项目为交钥匙工程，各项报价为本项目施工所产生的所有费用。</w:t>
      </w:r>
    </w:p>
    <w:p>
      <w:pPr>
        <w:pStyle w:val="288"/>
        <w:rPr>
          <w:lang w:eastAsia="zh-CN"/>
        </w:rPr>
      </w:pPr>
      <w:bookmarkStart w:id="41" w:name="_Toc486001934"/>
      <w:bookmarkStart w:id="42" w:name="_Toc487022877"/>
      <w:r>
        <w:rPr>
          <w:rFonts w:hint="eastAsia"/>
          <w:lang w:eastAsia="zh-CN"/>
        </w:rPr>
        <w:t>3</w:t>
      </w:r>
      <w:r>
        <w:rPr>
          <w:lang w:eastAsia="zh-CN"/>
        </w:rPr>
        <w:t>．</w:t>
      </w:r>
      <w:r>
        <w:rPr>
          <w:rFonts w:hint="eastAsia"/>
          <w:lang w:eastAsia="zh-CN"/>
        </w:rPr>
        <w:t>报价的编制依据</w:t>
      </w:r>
      <w:bookmarkEnd w:id="41"/>
      <w:bookmarkEnd w:id="42"/>
    </w:p>
    <w:p>
      <w:pPr>
        <w:autoSpaceDE w:val="0"/>
        <w:autoSpaceDN w:val="0"/>
        <w:adjustRightInd w:val="0"/>
        <w:spacing w:line="360" w:lineRule="auto"/>
        <w:ind w:firstLine="420" w:firstLineChars="200"/>
        <w:jc w:val="left"/>
        <w:rPr>
          <w:rFonts w:ascii="宋体" w:hAnsi="宋体" w:cs="仿宋_GB2312"/>
          <w:kern w:val="0"/>
          <w:szCs w:val="21"/>
        </w:rPr>
      </w:pPr>
      <w:r>
        <w:rPr>
          <w:rFonts w:hint="eastAsia" w:ascii="宋体" w:hAnsi="宋体" w:cs="仿宋_GB2312"/>
          <w:kern w:val="0"/>
          <w:szCs w:val="21"/>
        </w:rPr>
        <w:t>3.1 除本规范强制性规定外，工程量清单报价由承包人自主确定，但不得低于成本。</w:t>
      </w:r>
    </w:p>
    <w:p>
      <w:pPr>
        <w:autoSpaceDE w:val="0"/>
        <w:autoSpaceDN w:val="0"/>
        <w:adjustRightInd w:val="0"/>
        <w:spacing w:line="360" w:lineRule="auto"/>
        <w:ind w:firstLine="420" w:firstLineChars="200"/>
        <w:jc w:val="left"/>
        <w:rPr>
          <w:rFonts w:ascii="宋体" w:hAnsi="宋体" w:cs="仿宋_GB2312"/>
          <w:kern w:val="0"/>
          <w:szCs w:val="21"/>
        </w:rPr>
      </w:pPr>
      <w:r>
        <w:rPr>
          <w:rFonts w:hint="eastAsia" w:ascii="宋体" w:hAnsi="宋体" w:cs="仿宋_GB2312"/>
          <w:kern w:val="0"/>
          <w:szCs w:val="21"/>
        </w:rPr>
        <w:t>3.2 工程量清单报价应由承包人或受其委托具有相应资质的工程造价咨询人编制。</w:t>
      </w:r>
    </w:p>
    <w:p>
      <w:pPr>
        <w:autoSpaceDE w:val="0"/>
        <w:autoSpaceDN w:val="0"/>
        <w:adjustRightInd w:val="0"/>
        <w:spacing w:line="360" w:lineRule="auto"/>
        <w:ind w:firstLine="420" w:firstLineChars="200"/>
        <w:jc w:val="left"/>
        <w:rPr>
          <w:rFonts w:ascii="宋体" w:hAnsi="宋体" w:cs="仿宋_GB2312"/>
          <w:kern w:val="0"/>
          <w:szCs w:val="21"/>
        </w:rPr>
      </w:pPr>
      <w:r>
        <w:rPr>
          <w:rFonts w:hint="eastAsia" w:ascii="宋体" w:hAnsi="宋体" w:cs="仿宋_GB2312"/>
          <w:kern w:val="0"/>
          <w:szCs w:val="21"/>
        </w:rPr>
        <w:t>3.3 除非发包人通过文件予以更正，否则，承包人应按发包人提供的工程量清单填报价格。填写的工程量清单必须与发包人提供的一致。</w:t>
      </w:r>
    </w:p>
    <w:p>
      <w:pPr>
        <w:autoSpaceDE w:val="0"/>
        <w:autoSpaceDN w:val="0"/>
        <w:adjustRightInd w:val="0"/>
        <w:spacing w:line="360" w:lineRule="auto"/>
        <w:ind w:firstLine="420" w:firstLineChars="200"/>
        <w:jc w:val="left"/>
        <w:rPr>
          <w:rFonts w:ascii="宋体" w:hAnsi="宋体" w:cs="仿宋_GB2312"/>
          <w:kern w:val="0"/>
          <w:szCs w:val="21"/>
        </w:rPr>
      </w:pPr>
      <w:r>
        <w:rPr>
          <w:rFonts w:hint="eastAsia" w:ascii="宋体" w:hAnsi="宋体" w:cs="仿宋_GB2312"/>
          <w:kern w:val="0"/>
          <w:szCs w:val="21"/>
        </w:rPr>
        <w:t>3.4 工程量清单报价中应考虑招标文件中要求承包人承担的各种风险费用（包括人工、材料风险，协调费等）。</w:t>
      </w:r>
    </w:p>
    <w:p>
      <w:pPr>
        <w:autoSpaceDE w:val="0"/>
        <w:autoSpaceDN w:val="0"/>
        <w:adjustRightInd w:val="0"/>
        <w:spacing w:line="360" w:lineRule="auto"/>
        <w:ind w:firstLine="420" w:firstLineChars="200"/>
        <w:jc w:val="left"/>
        <w:rPr>
          <w:rFonts w:ascii="宋体" w:hAnsi="宋体" w:cs="仿宋_GB2312"/>
          <w:kern w:val="0"/>
          <w:szCs w:val="21"/>
        </w:rPr>
      </w:pPr>
      <w:r>
        <w:rPr>
          <w:rFonts w:hint="eastAsia" w:ascii="宋体" w:hAnsi="宋体" w:cs="仿宋_GB2312"/>
          <w:kern w:val="0"/>
          <w:szCs w:val="21"/>
        </w:rPr>
        <w:t>3.5 因承包人原因造成拖延工期而发生的措施费等费用，由承包人自行承担，发包人不另考虑。</w:t>
      </w:r>
    </w:p>
    <w:p>
      <w:pPr>
        <w:autoSpaceDE w:val="0"/>
        <w:autoSpaceDN w:val="0"/>
        <w:adjustRightInd w:val="0"/>
        <w:spacing w:line="360" w:lineRule="auto"/>
        <w:ind w:firstLine="420" w:firstLineChars="200"/>
        <w:jc w:val="left"/>
        <w:rPr>
          <w:rFonts w:ascii="宋体" w:hAnsi="宋体" w:cs="仿宋_GB2312"/>
          <w:kern w:val="0"/>
          <w:szCs w:val="21"/>
        </w:rPr>
      </w:pPr>
      <w:r>
        <w:rPr>
          <w:rFonts w:hint="eastAsia" w:ascii="宋体" w:hAnsi="宋体" w:cs="仿宋_GB2312"/>
          <w:kern w:val="0"/>
          <w:szCs w:val="21"/>
        </w:rPr>
        <w:t>3.6 承包人应充分了解工地位置、情况、道路、储存空间、装卸限制及任何其它足以影响承包价的情况，任何因忽视或误解工地情况而导致的索赔或工期延长申请将不获批准。</w:t>
      </w:r>
    </w:p>
    <w:p>
      <w:pPr>
        <w:autoSpaceDE w:val="0"/>
        <w:autoSpaceDN w:val="0"/>
        <w:adjustRightInd w:val="0"/>
        <w:spacing w:line="360" w:lineRule="auto"/>
        <w:ind w:firstLine="420" w:firstLineChars="200"/>
        <w:jc w:val="left"/>
        <w:rPr>
          <w:rFonts w:ascii="宋体" w:hAnsi="宋体" w:cs="仿宋_GB2312"/>
          <w:kern w:val="0"/>
          <w:szCs w:val="21"/>
        </w:rPr>
      </w:pPr>
      <w:r>
        <w:rPr>
          <w:rFonts w:hint="eastAsia" w:ascii="宋体" w:hAnsi="宋体" w:cs="仿宋_GB2312"/>
          <w:kern w:val="0"/>
          <w:szCs w:val="21"/>
        </w:rPr>
        <w:t>3.7 承包人应认真审阅招标文件中所有的条款、图纸及技术规范。图纸设计做法不清楚需完善的内容，承包人应以书面形式向发包方明确提出，由发包方明确做法并计入工程量清单报价；否则视为承包人在工程量清单报价中已按照相关施工规范完善、计入了工程量清单报价中。</w:t>
      </w:r>
    </w:p>
    <w:p>
      <w:pPr>
        <w:autoSpaceDE w:val="0"/>
        <w:autoSpaceDN w:val="0"/>
        <w:adjustRightInd w:val="0"/>
        <w:spacing w:line="360" w:lineRule="auto"/>
        <w:ind w:firstLine="420" w:firstLineChars="200"/>
        <w:jc w:val="left"/>
        <w:rPr>
          <w:rFonts w:ascii="宋体" w:hAnsi="宋体" w:cs="仿宋_GB2312"/>
          <w:kern w:val="0"/>
          <w:szCs w:val="21"/>
        </w:rPr>
      </w:pPr>
      <w:r>
        <w:rPr>
          <w:rFonts w:hint="eastAsia" w:ascii="宋体" w:hAnsi="宋体" w:cs="仿宋_GB2312"/>
          <w:kern w:val="0"/>
          <w:szCs w:val="21"/>
        </w:rPr>
        <w:t>3.8 投标和支付所使用的货币均以人民币为计价依据，合同实施时亦以人民币支付。</w:t>
      </w:r>
    </w:p>
    <w:p>
      <w:pPr>
        <w:autoSpaceDE w:val="0"/>
        <w:autoSpaceDN w:val="0"/>
        <w:adjustRightInd w:val="0"/>
        <w:spacing w:line="360" w:lineRule="auto"/>
        <w:ind w:firstLine="420" w:firstLineChars="200"/>
        <w:jc w:val="left"/>
        <w:rPr>
          <w:rFonts w:ascii="宋体" w:hAnsi="宋体"/>
        </w:rPr>
      </w:pPr>
      <w:r>
        <w:rPr>
          <w:rFonts w:hint="eastAsia" w:ascii="宋体" w:hAnsi="宋体" w:cs="仿宋_GB2312"/>
          <w:kern w:val="0"/>
          <w:szCs w:val="21"/>
        </w:rPr>
        <w:t>3.</w:t>
      </w:r>
      <w:r>
        <w:rPr>
          <w:rFonts w:ascii="宋体" w:hAnsi="宋体" w:cs="仿宋_GB2312"/>
          <w:kern w:val="0"/>
          <w:szCs w:val="21"/>
        </w:rPr>
        <w:t xml:space="preserve">9 </w:t>
      </w:r>
      <w:r>
        <w:rPr>
          <w:rFonts w:hint="eastAsia" w:ascii="宋体" w:hAnsi="宋体" w:cs="仿宋_GB2312"/>
          <w:kern w:val="0"/>
          <w:szCs w:val="21"/>
        </w:rPr>
        <w:t>投标报价中材料价执行项目所在地工程造价主管部门发布的当期材料信息价，并满足当地电力主管部门的要求。</w:t>
      </w:r>
    </w:p>
    <w:p>
      <w:pPr>
        <w:numPr>
          <w:ilvl w:val="0"/>
          <w:numId w:val="0"/>
        </w:numPr>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tabs>
          <w:tab w:val="left" w:pos="318"/>
        </w:tabs>
        <w:spacing w:line="480" w:lineRule="auto"/>
        <w:ind w:firstLine="241" w:firstLineChars="100"/>
        <w:jc w:val="center"/>
        <w:rPr>
          <w:rFonts w:ascii="宋体" w:hAnsi="宋体" w:cs="宋体"/>
          <w:b/>
          <w:bCs/>
          <w:sz w:val="24"/>
          <w:szCs w:val="21"/>
        </w:rPr>
      </w:pPr>
      <w:r>
        <w:rPr>
          <w:rFonts w:hint="eastAsia" w:ascii="宋体" w:hAnsi="宋体" w:cs="宋体"/>
          <w:b/>
          <w:bCs/>
          <w:sz w:val="24"/>
          <w:szCs w:val="21"/>
        </w:rPr>
        <w:t>“郑州市蔬菜研究所科研楼”供配电工程施工项目技术规范书</w:t>
      </w:r>
    </w:p>
    <w:p>
      <w:pPr>
        <w:spacing w:line="360" w:lineRule="auto"/>
        <w:ind w:firstLine="426" w:firstLineChars="202"/>
        <w:rPr>
          <w:rFonts w:ascii="宋体" w:hAnsi="宋体"/>
          <w:b/>
        </w:rPr>
      </w:pPr>
      <w:r>
        <w:rPr>
          <w:rFonts w:hint="eastAsia" w:ascii="宋体" w:hAnsi="宋体"/>
          <w:b/>
        </w:rPr>
        <w:t>一、本工程的主要技术标准和规范按国家相关规定执行</w:t>
      </w:r>
    </w:p>
    <w:p>
      <w:pPr>
        <w:spacing w:line="360" w:lineRule="auto"/>
        <w:ind w:firstLine="424" w:firstLineChars="202"/>
        <w:rPr>
          <w:rFonts w:ascii="宋体" w:hAnsi="宋体"/>
        </w:rPr>
      </w:pPr>
      <w:r>
        <w:rPr>
          <w:rFonts w:hint="eastAsia" w:ascii="宋体" w:hAnsi="宋体"/>
        </w:rPr>
        <w:t>设备应按本技术规格书规定的标准和规范进行设计和制造。若在设计和制造中应用的某项标准或规范在按本技术规格书中没有规定，则投标人应详细说明其所采用的标准和规范，并提供该标准或规范的完整原件给招标人，国内标准应提供中文文本，国外标准应提供中、英文文本。只有当其采用的标准和规范是国际公认的、惯用的；且等于或优于本技术规格书的要求时，此标准或规范才可能被接受。</w:t>
      </w:r>
    </w:p>
    <w:p>
      <w:pPr>
        <w:spacing w:line="360" w:lineRule="auto"/>
        <w:ind w:firstLine="424" w:firstLineChars="202"/>
        <w:rPr>
          <w:rFonts w:ascii="宋体" w:hAnsi="宋体"/>
        </w:rPr>
      </w:pPr>
      <w:r>
        <w:rPr>
          <w:rFonts w:hint="eastAsia" w:ascii="宋体" w:hAnsi="宋体"/>
        </w:rPr>
        <w:t>《电力工程电缆设计规范》</w:t>
      </w:r>
      <w:r>
        <w:rPr>
          <w:rFonts w:ascii="宋体" w:hAnsi="宋体"/>
        </w:rPr>
        <w:t xml:space="preserve">    </w:t>
      </w:r>
      <w:r>
        <w:rPr>
          <w:rFonts w:hint="eastAsia" w:ascii="宋体" w:hAnsi="宋体"/>
        </w:rPr>
        <w:t>GB50217-94</w:t>
      </w:r>
    </w:p>
    <w:p>
      <w:pPr>
        <w:spacing w:line="360" w:lineRule="auto"/>
        <w:ind w:firstLine="424" w:firstLineChars="202"/>
        <w:rPr>
          <w:rFonts w:ascii="宋体" w:hAnsi="宋体"/>
        </w:rPr>
      </w:pPr>
      <w:r>
        <w:rPr>
          <w:rFonts w:hint="eastAsia" w:ascii="宋体" w:hAnsi="宋体"/>
        </w:rPr>
        <w:t>全国建筑物电气装置标准化技术委员会《铜芯电线电缆载流量标准》</w:t>
      </w:r>
    </w:p>
    <w:p>
      <w:pPr>
        <w:spacing w:line="360" w:lineRule="auto"/>
        <w:ind w:firstLine="424" w:firstLineChars="202"/>
        <w:rPr>
          <w:rFonts w:ascii="宋体" w:hAnsi="宋体"/>
        </w:rPr>
      </w:pPr>
      <w:r>
        <w:rPr>
          <w:rFonts w:hint="eastAsia" w:ascii="宋体" w:hAnsi="宋体"/>
        </w:rPr>
        <w:t>《电气装置安装工程高压电器施工及验收规范》</w:t>
      </w:r>
      <w:r>
        <w:rPr>
          <w:rFonts w:ascii="宋体" w:hAnsi="宋体"/>
        </w:rPr>
        <w:t xml:space="preserve">   </w:t>
      </w:r>
      <w:r>
        <w:rPr>
          <w:rFonts w:hint="eastAsia" w:ascii="宋体" w:hAnsi="宋体"/>
        </w:rPr>
        <w:t>GBJ147-90</w:t>
      </w:r>
    </w:p>
    <w:p>
      <w:pPr>
        <w:spacing w:line="360" w:lineRule="auto"/>
        <w:ind w:firstLine="424" w:firstLineChars="202"/>
        <w:rPr>
          <w:rFonts w:ascii="宋体" w:hAnsi="宋体"/>
        </w:rPr>
      </w:pPr>
      <w:r>
        <w:rPr>
          <w:rFonts w:hint="eastAsia" w:ascii="宋体" w:hAnsi="宋体"/>
        </w:rPr>
        <w:t>《电气装置安装工程电力变压器、油浸电抗器、互感器施工及验收规范》</w:t>
      </w:r>
      <w:r>
        <w:rPr>
          <w:rFonts w:ascii="宋体" w:hAnsi="宋体"/>
        </w:rPr>
        <w:t xml:space="preserve"> </w:t>
      </w:r>
      <w:r>
        <w:rPr>
          <w:rFonts w:hint="eastAsia" w:ascii="宋体" w:hAnsi="宋体"/>
        </w:rPr>
        <w:t>GBJ148-90</w:t>
      </w:r>
    </w:p>
    <w:p>
      <w:pPr>
        <w:spacing w:line="360" w:lineRule="auto"/>
        <w:ind w:firstLine="424" w:firstLineChars="202"/>
        <w:rPr>
          <w:rFonts w:ascii="宋体" w:hAnsi="宋体"/>
        </w:rPr>
      </w:pPr>
      <w:r>
        <w:rPr>
          <w:rFonts w:hint="eastAsia" w:ascii="宋体" w:hAnsi="宋体"/>
        </w:rPr>
        <w:t>《电气装置安装工程母线装置施工及验收规范》GBJ149-90</w:t>
      </w:r>
    </w:p>
    <w:p>
      <w:pPr>
        <w:spacing w:line="360" w:lineRule="auto"/>
        <w:ind w:firstLine="424" w:firstLineChars="202"/>
        <w:rPr>
          <w:rFonts w:ascii="宋体" w:hAnsi="宋体"/>
        </w:rPr>
      </w:pPr>
      <w:r>
        <w:rPr>
          <w:rFonts w:hint="eastAsia" w:ascii="宋体" w:hAnsi="宋体"/>
        </w:rPr>
        <w:t>《电气装置安装工程电缆线路施工及验收规范》GB50168-92</w:t>
      </w:r>
    </w:p>
    <w:p>
      <w:pPr>
        <w:spacing w:line="360" w:lineRule="auto"/>
        <w:ind w:firstLine="424" w:firstLineChars="202"/>
        <w:rPr>
          <w:rFonts w:ascii="宋体" w:hAnsi="宋体"/>
        </w:rPr>
      </w:pPr>
      <w:r>
        <w:rPr>
          <w:rFonts w:hint="eastAsia" w:ascii="宋体" w:hAnsi="宋体"/>
        </w:rPr>
        <w:t>《电气装置安装工程接地装置施工及验收规范》GB50169-92</w:t>
      </w:r>
    </w:p>
    <w:p>
      <w:pPr>
        <w:spacing w:line="360" w:lineRule="auto"/>
        <w:ind w:firstLine="424" w:firstLineChars="202"/>
        <w:rPr>
          <w:rFonts w:ascii="宋体" w:hAnsi="宋体"/>
        </w:rPr>
      </w:pPr>
      <w:r>
        <w:rPr>
          <w:rFonts w:hint="eastAsia" w:ascii="宋体" w:hAnsi="宋体"/>
        </w:rPr>
        <w:t>《电气装置安装工程盘、柜及二次回路结线施工及验收规范》GB50171-92</w:t>
      </w:r>
    </w:p>
    <w:p>
      <w:pPr>
        <w:spacing w:line="360" w:lineRule="auto"/>
        <w:ind w:firstLine="424" w:firstLineChars="202"/>
        <w:rPr>
          <w:rFonts w:ascii="宋体" w:hAnsi="宋体"/>
        </w:rPr>
      </w:pPr>
      <w:r>
        <w:rPr>
          <w:rFonts w:hint="eastAsia" w:ascii="宋体" w:hAnsi="宋体"/>
        </w:rPr>
        <w:t>《电气装置安装工程蓄电池施工及验收规范》GB50172-92</w:t>
      </w:r>
    </w:p>
    <w:p>
      <w:pPr>
        <w:spacing w:line="360" w:lineRule="auto"/>
        <w:ind w:firstLine="424" w:firstLineChars="202"/>
        <w:rPr>
          <w:rFonts w:ascii="宋体" w:hAnsi="宋体"/>
        </w:rPr>
      </w:pPr>
      <w:r>
        <w:rPr>
          <w:rFonts w:hint="eastAsia" w:ascii="宋体" w:hAnsi="宋体"/>
        </w:rPr>
        <w:t>《电气装置安装工程电气设备交接试验标准》GB50150-91</w:t>
      </w:r>
    </w:p>
    <w:p>
      <w:pPr>
        <w:spacing w:line="360" w:lineRule="auto"/>
        <w:ind w:firstLine="424" w:firstLineChars="202"/>
        <w:rPr>
          <w:rFonts w:ascii="宋体" w:hAnsi="宋体"/>
        </w:rPr>
      </w:pPr>
      <w:r>
        <w:rPr>
          <w:rFonts w:hint="eastAsia" w:ascii="宋体" w:hAnsi="宋体"/>
        </w:rPr>
        <w:t>《电气装置安装工程低压电器施工及验收规范》GB50254－96</w:t>
      </w:r>
    </w:p>
    <w:p>
      <w:pPr>
        <w:spacing w:line="360" w:lineRule="auto"/>
        <w:ind w:firstLine="424" w:firstLineChars="202"/>
        <w:rPr>
          <w:rFonts w:ascii="宋体" w:hAnsi="宋体"/>
        </w:rPr>
      </w:pPr>
      <w:r>
        <w:rPr>
          <w:rFonts w:hint="eastAsia" w:ascii="宋体" w:hAnsi="宋体"/>
        </w:rPr>
        <w:t>《电工用铜、铝及其合金母线》            GB 5585.1—GB 5585.3—85</w:t>
      </w:r>
    </w:p>
    <w:p>
      <w:pPr>
        <w:spacing w:line="360" w:lineRule="auto"/>
        <w:ind w:firstLine="424" w:firstLineChars="202"/>
        <w:rPr>
          <w:rFonts w:ascii="宋体" w:hAnsi="宋体"/>
        </w:rPr>
      </w:pPr>
      <w:r>
        <w:rPr>
          <w:rFonts w:hint="eastAsia" w:ascii="宋体" w:hAnsi="宋体"/>
        </w:rPr>
        <w:t>《低压成套开关货物和控制货物第1部分》  IEC439－1(1992)</w:t>
      </w:r>
    </w:p>
    <w:p>
      <w:pPr>
        <w:spacing w:line="360" w:lineRule="auto"/>
        <w:ind w:firstLine="424" w:firstLineChars="202"/>
        <w:rPr>
          <w:rFonts w:ascii="宋体" w:hAnsi="宋体"/>
        </w:rPr>
      </w:pPr>
      <w:r>
        <w:rPr>
          <w:rFonts w:hint="eastAsia" w:ascii="宋体" w:hAnsi="宋体"/>
        </w:rPr>
        <w:t>《低压成套开关货物和控制货物第2部分》  IEC439—2(1991)</w:t>
      </w:r>
    </w:p>
    <w:p>
      <w:pPr>
        <w:spacing w:line="360" w:lineRule="auto"/>
        <w:ind w:firstLine="424" w:firstLineChars="202"/>
        <w:rPr>
          <w:rFonts w:ascii="宋体" w:hAnsi="宋体"/>
        </w:rPr>
      </w:pPr>
      <w:r>
        <w:rPr>
          <w:rFonts w:hint="eastAsia" w:ascii="宋体" w:hAnsi="宋体"/>
        </w:rPr>
        <w:t>《河南省用电单位电气装置安全及检验规程》</w:t>
      </w:r>
    </w:p>
    <w:p>
      <w:pPr>
        <w:spacing w:line="360" w:lineRule="auto"/>
        <w:ind w:firstLine="424" w:firstLineChars="202"/>
        <w:rPr>
          <w:rFonts w:ascii="宋体" w:hAnsi="宋体"/>
        </w:rPr>
      </w:pPr>
      <w:r>
        <w:rPr>
          <w:rFonts w:hint="eastAsia" w:ascii="宋体" w:hAnsi="宋体"/>
        </w:rPr>
        <w:t>按国家标准有关要求，并符合中华人民共和国电力行业有关标准和规定。</w:t>
      </w:r>
    </w:p>
    <w:p>
      <w:pPr>
        <w:spacing w:line="360" w:lineRule="auto"/>
        <w:ind w:firstLine="424" w:firstLineChars="202"/>
        <w:rPr>
          <w:rFonts w:ascii="宋体" w:hAnsi="宋体"/>
        </w:rPr>
      </w:pPr>
      <w:r>
        <w:rPr>
          <w:rFonts w:hint="eastAsia" w:ascii="宋体" w:hAnsi="宋体"/>
        </w:rPr>
        <w:t>以上规范如有新版本，以新版本为准。</w:t>
      </w:r>
    </w:p>
    <w:p>
      <w:pPr>
        <w:spacing w:line="360" w:lineRule="auto"/>
        <w:ind w:firstLine="424" w:firstLineChars="202"/>
        <w:rPr>
          <w:rFonts w:ascii="宋体" w:hAnsi="宋体"/>
        </w:rPr>
      </w:pPr>
      <w:r>
        <w:rPr>
          <w:rFonts w:hint="eastAsia" w:ascii="宋体" w:hAnsi="宋体"/>
        </w:rPr>
        <w:t>未尽事宜，以设计图纸为准。</w:t>
      </w:r>
    </w:p>
    <w:p>
      <w:pPr>
        <w:spacing w:line="360" w:lineRule="auto"/>
        <w:ind w:firstLine="424" w:firstLineChars="202"/>
        <w:rPr>
          <w:rFonts w:ascii="宋体" w:hAnsi="宋体"/>
        </w:rPr>
      </w:pPr>
      <w:r>
        <w:rPr>
          <w:rFonts w:hint="eastAsia" w:ascii="宋体" w:hAnsi="宋体"/>
        </w:rPr>
        <w:t>本工程实施中采用图纸中指定的和上述技术规范和标准。所采用的规范和标准如出现标准不一致的情况，以标准高的为准。上述规范在执行过程中如有新规范颁布应执行最新规范标准。</w:t>
      </w:r>
    </w:p>
    <w:p>
      <w:pPr>
        <w:spacing w:line="360" w:lineRule="auto"/>
        <w:ind w:firstLine="426" w:firstLineChars="202"/>
        <w:rPr>
          <w:rFonts w:ascii="宋体" w:hAnsi="宋体"/>
          <w:b/>
        </w:rPr>
      </w:pPr>
      <w:r>
        <w:rPr>
          <w:rFonts w:hint="eastAsia" w:ascii="宋体" w:hAnsi="宋体"/>
          <w:b/>
        </w:rPr>
        <w:t>二、招标人要求：</w:t>
      </w:r>
    </w:p>
    <w:p>
      <w:pPr>
        <w:spacing w:line="360" w:lineRule="auto"/>
        <w:ind w:firstLine="424" w:firstLineChars="202"/>
        <w:rPr>
          <w:rFonts w:ascii="宋体" w:hAnsi="宋体"/>
        </w:rPr>
      </w:pPr>
      <w:r>
        <w:rPr>
          <w:rFonts w:hint="eastAsia" w:ascii="宋体" w:hAnsi="宋体"/>
        </w:rPr>
        <w:t>1、设备、材料使用：中标人应确保在电业局备案产品，并保证安全用电，若因产品质量问题，所发生的一切后果与责任由中标人承担。</w:t>
      </w:r>
    </w:p>
    <w:p>
      <w:pPr>
        <w:spacing w:line="360" w:lineRule="auto"/>
        <w:ind w:firstLine="424" w:firstLineChars="202"/>
        <w:rPr>
          <w:rFonts w:ascii="宋体" w:hAnsi="宋体"/>
        </w:rPr>
      </w:pPr>
      <w:r>
        <w:rPr>
          <w:rFonts w:hint="eastAsia" w:ascii="宋体" w:hAnsi="宋体"/>
        </w:rPr>
        <w:t>2、工程分包：中标人如将本工程的任何部分向其他单位分包，必须先向招标人提出书面报告，在取得招标人和监理认可的情况下方可进行分包，否则招标人有权终止与中标人签定的施工合同。</w:t>
      </w:r>
    </w:p>
    <w:p>
      <w:pPr>
        <w:spacing w:line="360" w:lineRule="auto"/>
        <w:ind w:firstLine="424" w:firstLineChars="202"/>
        <w:rPr>
          <w:rFonts w:ascii="宋体" w:hAnsi="宋体"/>
        </w:rPr>
      </w:pPr>
      <w:r>
        <w:rPr>
          <w:rFonts w:hint="eastAsia" w:ascii="宋体" w:hAnsi="宋体"/>
        </w:rPr>
        <w:t>3、若因中标人原因造成工程质量达不到招标文件规定的质量要求，中标人应无条件返修并承担由此造成的一切损失及赔偿费用。</w:t>
      </w:r>
    </w:p>
    <w:p>
      <w:pPr>
        <w:spacing w:line="360" w:lineRule="auto"/>
        <w:ind w:firstLine="424" w:firstLineChars="202"/>
        <w:rPr>
          <w:rFonts w:ascii="宋体" w:hAnsi="宋体"/>
        </w:rPr>
      </w:pPr>
      <w:r>
        <w:rPr>
          <w:rFonts w:hint="eastAsia" w:ascii="宋体" w:hAnsi="宋体"/>
        </w:rPr>
        <w:t>4、本工程采取总承包方式，中标价在合同执行期内除规定的调价因素外不做调整。</w:t>
      </w:r>
    </w:p>
    <w:p>
      <w:pPr>
        <w:spacing w:line="360" w:lineRule="auto"/>
        <w:ind w:firstLine="424" w:firstLineChars="202"/>
        <w:rPr>
          <w:rFonts w:ascii="宋体" w:hAnsi="宋体"/>
        </w:rPr>
      </w:pPr>
      <w:r>
        <w:rPr>
          <w:rFonts w:hint="eastAsia" w:ascii="宋体" w:hAnsi="宋体"/>
        </w:rPr>
        <w:t>5、中标人应服从招标人的统筹调度，做好施工管理工作。</w:t>
      </w:r>
    </w:p>
    <w:p>
      <w:pPr>
        <w:spacing w:line="360" w:lineRule="auto"/>
        <w:rPr>
          <w:rFonts w:ascii="宋体" w:hAnsi="宋体"/>
          <w:b/>
          <w:szCs w:val="21"/>
        </w:rPr>
      </w:pPr>
      <w:r>
        <w:rPr>
          <w:rFonts w:hint="eastAsia" w:ascii="宋体" w:hAnsi="宋体"/>
          <w:b/>
          <w:szCs w:val="21"/>
        </w:rPr>
        <w:t>三、</w:t>
      </w:r>
      <w:bookmarkStart w:id="43" w:name="_Toc484449544"/>
      <w:bookmarkStart w:id="44" w:name="_Toc484387563"/>
      <w:r>
        <w:rPr>
          <w:rFonts w:hint="eastAsia" w:ascii="宋体" w:hAnsi="宋体"/>
          <w:b/>
          <w:szCs w:val="21"/>
        </w:rPr>
        <w:t>施工范围及内容</w:t>
      </w:r>
      <w:bookmarkEnd w:id="43"/>
      <w:bookmarkEnd w:id="44"/>
    </w:p>
    <w:p>
      <w:pPr>
        <w:spacing w:line="360" w:lineRule="auto"/>
        <w:ind w:firstLine="424" w:firstLineChars="202"/>
        <w:rPr>
          <w:rFonts w:ascii="宋体" w:hAnsi="宋体"/>
        </w:rPr>
      </w:pPr>
      <w:r>
        <w:rPr>
          <w:rFonts w:hint="eastAsia" w:ascii="宋体" w:hAnsi="宋体"/>
        </w:rPr>
        <w:t>1、施工图纸范围内所有设备、材料的采购、安装、调试，以及协调接电、系统验收、</w:t>
      </w:r>
      <w:r>
        <w:rPr>
          <w:rFonts w:ascii="宋体" w:hAnsi="宋体"/>
        </w:rPr>
        <w:t>测试</w:t>
      </w:r>
      <w:r>
        <w:rPr>
          <w:rFonts w:hint="eastAsia" w:ascii="宋体" w:hAnsi="宋体"/>
        </w:rPr>
        <w:t>、计量、</w:t>
      </w:r>
      <w:r>
        <w:rPr>
          <w:rFonts w:ascii="宋体" w:hAnsi="宋体"/>
        </w:rPr>
        <w:t>送电</w:t>
      </w:r>
      <w:r>
        <w:rPr>
          <w:rFonts w:hint="eastAsia" w:ascii="宋体" w:hAnsi="宋体"/>
        </w:rPr>
        <w:t>等。</w:t>
      </w:r>
    </w:p>
    <w:p>
      <w:pPr>
        <w:spacing w:line="360" w:lineRule="auto"/>
        <w:ind w:firstLine="424" w:firstLineChars="202"/>
        <w:rPr>
          <w:rFonts w:ascii="宋体" w:hAnsi="宋体"/>
        </w:rPr>
      </w:pPr>
      <w:r>
        <w:rPr>
          <w:rFonts w:hint="eastAsia" w:ascii="宋体" w:hAnsi="宋体"/>
        </w:rPr>
        <w:t>2、用电手续的办理及送电和质保期服务（工程内容以郑州供电公司审核合格的图纸为准）。</w:t>
      </w:r>
    </w:p>
    <w:p>
      <w:pPr>
        <w:spacing w:line="360" w:lineRule="auto"/>
        <w:ind w:firstLine="424" w:firstLineChars="202"/>
        <w:rPr>
          <w:rFonts w:ascii="宋体" w:hAnsi="宋体"/>
          <w:szCs w:val="21"/>
        </w:rPr>
      </w:pPr>
      <w:r>
        <w:rPr>
          <w:rFonts w:hint="eastAsia" w:ascii="宋体" w:hAnsi="宋体"/>
        </w:rPr>
        <w:t>3、主要</w:t>
      </w:r>
      <w:r>
        <w:rPr>
          <w:rFonts w:ascii="宋体" w:hAnsi="宋体"/>
        </w:rPr>
        <w:t>工作量</w:t>
      </w:r>
      <w:r>
        <w:rPr>
          <w:rFonts w:hint="eastAsia" w:ascii="宋体" w:hAnsi="宋体"/>
        </w:rPr>
        <w:t>：</w:t>
      </w:r>
      <w:r>
        <w:rPr>
          <w:rFonts w:hint="eastAsia" w:ascii="宋体" w:hAnsi="宋体"/>
          <w:szCs w:val="21"/>
        </w:rPr>
        <w:t>1、长江路二配开闭所扩容；2长江路二配至郑州市蔬菜研究所科研楼新建两条240平方电力电缆；3、新建高低压配电设施；4、既有电气设备拆除与更换（1、原有箱变基础、砼杆、分支箱的拆除，家属院表箱、低压动力箱的更换）等，具体以施工图和工程量清单为准。</w:t>
      </w:r>
    </w:p>
    <w:p>
      <w:pPr>
        <w:spacing w:line="360" w:lineRule="auto"/>
        <w:rPr>
          <w:rFonts w:ascii="宋体" w:hAnsi="宋体"/>
          <w:b/>
        </w:rPr>
      </w:pPr>
      <w:bookmarkStart w:id="45" w:name="_Toc323366454"/>
      <w:r>
        <w:rPr>
          <w:rFonts w:hint="eastAsia" w:ascii="宋体" w:hAnsi="宋体"/>
          <w:b/>
        </w:rPr>
        <w:t>四、技术要求</w:t>
      </w:r>
      <w:bookmarkEnd w:id="45"/>
    </w:p>
    <w:p>
      <w:pPr>
        <w:adjustRightInd w:val="0"/>
        <w:snapToGrid w:val="0"/>
        <w:spacing w:line="360" w:lineRule="auto"/>
        <w:ind w:firstLine="420" w:firstLineChars="200"/>
        <w:rPr>
          <w:rFonts w:ascii="宋体" w:hAnsi="宋体" w:cs="宋体"/>
          <w:szCs w:val="21"/>
        </w:rPr>
      </w:pPr>
      <w:r>
        <w:rPr>
          <w:rFonts w:hint="eastAsia" w:ascii="宋体" w:hAnsi="宋体" w:cs="宋体"/>
          <w:szCs w:val="21"/>
        </w:rPr>
        <w:t>所有元器件均应保证能满足以下技术性能要求，厂家应提供元器件的产地证明、</w:t>
      </w:r>
      <w:r>
        <w:rPr>
          <w:rFonts w:hint="eastAsia" w:ascii="宋体" w:hAnsi="宋体" w:cs="宋体"/>
          <w:szCs w:val="21"/>
          <w:lang w:eastAsia="zh-CN"/>
        </w:rPr>
        <w:t>投标人</w:t>
      </w:r>
      <w:r>
        <w:rPr>
          <w:rFonts w:hint="eastAsia" w:ascii="宋体" w:hAnsi="宋体" w:cs="宋体"/>
          <w:szCs w:val="21"/>
        </w:rPr>
        <w:t>资质的证明文件、授权书等。</w:t>
      </w:r>
    </w:p>
    <w:p>
      <w:pPr>
        <w:spacing w:line="360" w:lineRule="auto"/>
        <w:rPr>
          <w:rFonts w:ascii="宋体" w:hAnsi="宋体"/>
          <w:szCs w:val="21"/>
        </w:rPr>
      </w:pPr>
      <w:r>
        <w:rPr>
          <w:rFonts w:hint="eastAsia" w:ascii="宋体" w:hAnsi="宋体"/>
          <w:szCs w:val="21"/>
        </w:rPr>
        <w:t>1、高压开关技术数据：</w:t>
      </w:r>
      <w:r>
        <w:rPr>
          <w:rFonts w:ascii="宋体" w:hAnsi="宋体"/>
          <w:szCs w:val="21"/>
        </w:rPr>
        <w:t> </w:t>
      </w:r>
    </w:p>
    <w:p>
      <w:pPr>
        <w:spacing w:line="360" w:lineRule="auto"/>
        <w:ind w:firstLine="420" w:firstLineChars="200"/>
        <w:rPr>
          <w:rFonts w:ascii="宋体" w:hAnsi="宋体"/>
          <w:szCs w:val="21"/>
        </w:rPr>
      </w:pPr>
      <w:r>
        <w:rPr>
          <w:rFonts w:hint="eastAsia" w:ascii="宋体" w:hAnsi="宋体"/>
          <w:szCs w:val="21"/>
        </w:rPr>
        <w:t>额定电压：12kV；</w:t>
      </w:r>
    </w:p>
    <w:p>
      <w:pPr>
        <w:spacing w:line="360" w:lineRule="auto"/>
        <w:ind w:firstLine="420" w:firstLineChars="200"/>
        <w:rPr>
          <w:rFonts w:ascii="宋体" w:hAnsi="宋体"/>
          <w:szCs w:val="21"/>
        </w:rPr>
      </w:pPr>
      <w:r>
        <w:rPr>
          <w:rFonts w:hint="eastAsia" w:ascii="宋体" w:hAnsi="宋体"/>
          <w:szCs w:val="21"/>
        </w:rPr>
        <w:t>额定频率：50Hz；</w:t>
      </w:r>
    </w:p>
    <w:p>
      <w:pPr>
        <w:spacing w:line="360" w:lineRule="auto"/>
        <w:ind w:firstLine="420" w:firstLineChars="200"/>
        <w:rPr>
          <w:rFonts w:ascii="宋体" w:hAnsi="宋体"/>
          <w:szCs w:val="21"/>
        </w:rPr>
      </w:pPr>
      <w:r>
        <w:rPr>
          <w:rFonts w:hint="eastAsia" w:ascii="宋体" w:hAnsi="宋体"/>
          <w:szCs w:val="21"/>
        </w:rPr>
        <w:t>额定电流：详见设计图纸；</w:t>
      </w:r>
    </w:p>
    <w:p>
      <w:pPr>
        <w:spacing w:line="360" w:lineRule="auto"/>
        <w:ind w:firstLine="420" w:firstLineChars="200"/>
        <w:rPr>
          <w:rFonts w:ascii="宋体" w:hAnsi="宋体"/>
          <w:szCs w:val="21"/>
        </w:rPr>
      </w:pPr>
      <w:r>
        <w:rPr>
          <w:rFonts w:hint="eastAsia" w:ascii="宋体" w:hAnsi="宋体"/>
          <w:szCs w:val="21"/>
        </w:rPr>
        <w:t>断路器机械寿命不少于2</w:t>
      </w:r>
      <w:r>
        <w:rPr>
          <w:rFonts w:ascii="宋体" w:hAnsi="宋体"/>
          <w:szCs w:val="21"/>
        </w:rPr>
        <w:t>0000</w:t>
      </w:r>
      <w:r>
        <w:rPr>
          <w:rFonts w:hint="eastAsia" w:ascii="宋体" w:hAnsi="宋体"/>
          <w:szCs w:val="21"/>
        </w:rPr>
        <w:t>次；</w:t>
      </w:r>
    </w:p>
    <w:p>
      <w:pPr>
        <w:spacing w:line="360" w:lineRule="auto"/>
        <w:ind w:firstLine="420" w:firstLineChars="200"/>
        <w:rPr>
          <w:rFonts w:ascii="宋体" w:hAnsi="宋体"/>
          <w:szCs w:val="21"/>
        </w:rPr>
      </w:pPr>
      <w:r>
        <w:rPr>
          <w:rFonts w:hint="eastAsia" w:ascii="宋体" w:hAnsi="宋体"/>
          <w:szCs w:val="21"/>
        </w:rPr>
        <w:t>额定绝缘水平：工频耐压</w:t>
      </w:r>
      <w:r>
        <w:rPr>
          <w:rFonts w:ascii="宋体" w:hAnsi="宋体"/>
          <w:szCs w:val="21"/>
        </w:rPr>
        <w:t>(1min) 42</w:t>
      </w:r>
      <w:r>
        <w:rPr>
          <w:rFonts w:hint="eastAsia" w:ascii="宋体" w:hAnsi="宋体"/>
          <w:szCs w:val="21"/>
        </w:rPr>
        <w:t>k</w:t>
      </w:r>
      <w:r>
        <w:rPr>
          <w:rFonts w:ascii="宋体" w:hAnsi="宋体"/>
          <w:szCs w:val="21"/>
        </w:rPr>
        <w:t>V</w:t>
      </w:r>
      <w:r>
        <w:rPr>
          <w:rFonts w:hint="eastAsia" w:ascii="宋体" w:hAnsi="宋体"/>
          <w:szCs w:val="21"/>
        </w:rPr>
        <w:t>，一次断口间</w:t>
      </w:r>
      <w:r>
        <w:rPr>
          <w:rFonts w:ascii="宋体" w:hAnsi="宋体"/>
          <w:szCs w:val="21"/>
        </w:rPr>
        <w:t>48</w:t>
      </w:r>
      <w:r>
        <w:rPr>
          <w:rFonts w:hint="eastAsia" w:ascii="宋体" w:hAnsi="宋体"/>
          <w:szCs w:val="21"/>
        </w:rPr>
        <w:t>k</w:t>
      </w:r>
      <w:r>
        <w:rPr>
          <w:rFonts w:ascii="宋体" w:hAnsi="宋体"/>
          <w:szCs w:val="21"/>
        </w:rPr>
        <w:t>V</w:t>
      </w:r>
      <w:r>
        <w:rPr>
          <w:rFonts w:hint="eastAsia" w:ascii="宋体" w:hAnsi="宋体"/>
          <w:szCs w:val="21"/>
        </w:rPr>
        <w:t>；</w:t>
      </w:r>
    </w:p>
    <w:p>
      <w:pPr>
        <w:spacing w:line="360" w:lineRule="auto"/>
        <w:ind w:firstLine="420" w:firstLineChars="200"/>
        <w:rPr>
          <w:rFonts w:ascii="宋体" w:hAnsi="宋体"/>
          <w:szCs w:val="21"/>
        </w:rPr>
      </w:pPr>
      <w:r>
        <w:rPr>
          <w:rFonts w:hint="eastAsia" w:ascii="宋体" w:hAnsi="宋体"/>
          <w:szCs w:val="21"/>
        </w:rPr>
        <w:t>雷电冲击耐压（峰值）</w:t>
      </w:r>
      <w:r>
        <w:rPr>
          <w:rFonts w:ascii="宋体" w:hAnsi="宋体"/>
          <w:szCs w:val="21"/>
        </w:rPr>
        <w:t>75</w:t>
      </w:r>
      <w:r>
        <w:rPr>
          <w:rFonts w:hint="eastAsia" w:ascii="宋体" w:hAnsi="宋体"/>
          <w:szCs w:val="21"/>
        </w:rPr>
        <w:t>k</w:t>
      </w:r>
      <w:r>
        <w:rPr>
          <w:rFonts w:ascii="宋体" w:hAnsi="宋体"/>
          <w:szCs w:val="21"/>
        </w:rPr>
        <w:t>V</w:t>
      </w:r>
      <w:r>
        <w:rPr>
          <w:rFonts w:hint="eastAsia" w:ascii="宋体" w:hAnsi="宋体"/>
          <w:szCs w:val="21"/>
        </w:rPr>
        <w:t>，一次断口</w:t>
      </w:r>
      <w:r>
        <w:rPr>
          <w:rFonts w:ascii="宋体" w:hAnsi="宋体"/>
          <w:szCs w:val="21"/>
        </w:rPr>
        <w:t>85</w:t>
      </w:r>
      <w:r>
        <w:rPr>
          <w:rFonts w:hint="eastAsia" w:ascii="宋体" w:hAnsi="宋体"/>
          <w:szCs w:val="21"/>
        </w:rPr>
        <w:t>k</w:t>
      </w:r>
      <w:r>
        <w:rPr>
          <w:rFonts w:ascii="宋体" w:hAnsi="宋体"/>
          <w:szCs w:val="21"/>
        </w:rPr>
        <w:t>V</w:t>
      </w:r>
      <w:r>
        <w:rPr>
          <w:rFonts w:hint="eastAsia" w:ascii="宋体" w:hAnsi="宋体"/>
          <w:szCs w:val="21"/>
        </w:rPr>
        <w:t>；</w:t>
      </w:r>
    </w:p>
    <w:p>
      <w:pPr>
        <w:spacing w:line="360" w:lineRule="auto"/>
        <w:ind w:firstLine="420" w:firstLineChars="200"/>
        <w:rPr>
          <w:rFonts w:ascii="宋体" w:hAnsi="宋体"/>
          <w:szCs w:val="21"/>
        </w:rPr>
      </w:pPr>
      <w:r>
        <w:rPr>
          <w:rFonts w:hint="eastAsia" w:ascii="宋体" w:hAnsi="宋体"/>
          <w:szCs w:val="21"/>
        </w:rPr>
        <w:t>防护等级：外壳不低于</w:t>
      </w:r>
      <w:r>
        <w:rPr>
          <w:rFonts w:ascii="宋体" w:hAnsi="宋体"/>
          <w:szCs w:val="21"/>
        </w:rPr>
        <w:t>IP4X</w:t>
      </w:r>
      <w:r>
        <w:rPr>
          <w:rFonts w:hint="eastAsia" w:ascii="宋体" w:hAnsi="宋体"/>
          <w:szCs w:val="21"/>
        </w:rPr>
        <w:t>、断路器室门打开时为不低于</w:t>
      </w:r>
      <w:r>
        <w:rPr>
          <w:rFonts w:ascii="宋体" w:hAnsi="宋体"/>
          <w:szCs w:val="21"/>
        </w:rPr>
        <w:t>IP2X</w:t>
      </w:r>
      <w:r>
        <w:rPr>
          <w:rFonts w:hint="eastAsia" w:ascii="宋体" w:hAnsi="宋体"/>
          <w:szCs w:val="21"/>
        </w:rPr>
        <w:t>以上；</w:t>
      </w:r>
    </w:p>
    <w:p>
      <w:pPr>
        <w:spacing w:line="360" w:lineRule="auto"/>
        <w:ind w:firstLine="420" w:firstLineChars="200"/>
        <w:rPr>
          <w:rFonts w:ascii="宋体" w:hAnsi="宋体"/>
          <w:szCs w:val="21"/>
        </w:rPr>
      </w:pPr>
      <w:r>
        <w:rPr>
          <w:rFonts w:hint="eastAsia" w:ascii="宋体" w:hAnsi="宋体"/>
          <w:szCs w:val="21"/>
        </w:rPr>
        <w:t>温升：可触及的外壳和盖板≤30K；可触及而在正常运行时又无需触及的外壳和盖板，如果人员不会触及≤40K。</w:t>
      </w:r>
    </w:p>
    <w:p>
      <w:pPr>
        <w:spacing w:line="360" w:lineRule="auto"/>
        <w:ind w:firstLine="420" w:firstLineChars="200"/>
        <w:rPr>
          <w:rFonts w:ascii="宋体" w:hAnsi="宋体"/>
          <w:color w:val="000000"/>
          <w:szCs w:val="21"/>
        </w:rPr>
      </w:pPr>
      <w:r>
        <w:rPr>
          <w:rFonts w:hint="eastAsia" w:ascii="宋体" w:hAnsi="宋体"/>
          <w:szCs w:val="21"/>
        </w:rPr>
        <w:t>真空断路器采用固封（整体浇注）极柱式，</w:t>
      </w:r>
      <w:r>
        <w:rPr>
          <w:rFonts w:hint="eastAsia" w:ascii="宋体" w:hAnsi="宋体"/>
          <w:color w:val="000000"/>
          <w:szCs w:val="21"/>
        </w:rPr>
        <w:t>参考选用许继股份VEM-12B系列、河南森源VSV-12系列、河南长征CZS1-12P系列，同等及以上品牌产品。</w:t>
      </w:r>
    </w:p>
    <w:p>
      <w:pPr>
        <w:spacing w:line="360" w:lineRule="auto"/>
        <w:rPr>
          <w:rFonts w:ascii="宋体" w:hAnsi="宋体" w:cs="宋体"/>
          <w:szCs w:val="21"/>
        </w:rPr>
      </w:pPr>
      <w:r>
        <w:rPr>
          <w:rFonts w:hint="eastAsia" w:ascii="宋体" w:hAnsi="宋体"/>
          <w:szCs w:val="21"/>
        </w:rPr>
        <w:t>2、</w:t>
      </w:r>
      <w:r>
        <w:rPr>
          <w:rFonts w:hint="eastAsia" w:ascii="宋体" w:hAnsi="宋体" w:cs="宋体"/>
          <w:szCs w:val="21"/>
        </w:rPr>
        <w:t>低压断路器电气性能要求</w:t>
      </w:r>
    </w:p>
    <w:p>
      <w:pPr>
        <w:spacing w:line="360" w:lineRule="auto"/>
        <w:rPr>
          <w:rFonts w:ascii="宋体" w:hAnsi="宋体" w:cs="宋体"/>
          <w:szCs w:val="21"/>
        </w:rPr>
      </w:pPr>
      <w:r>
        <w:rPr>
          <w:rFonts w:hint="eastAsia" w:ascii="宋体" w:hAnsi="宋体" w:cs="宋体"/>
          <w:szCs w:val="21"/>
        </w:rPr>
        <w:t>2.1 配置：配置电动操作机构，具有本地及远程分、合闸功能，并带有分励线圈、辅助触点、报警接点、脱扣指示器等附件，进线柜断路器带失压延时线圈；保护功能：具有过载长延时保护、短路瞬时保护、短路短延时保护功能，并可对保护电流进行现场整定。</w:t>
      </w:r>
    </w:p>
    <w:p>
      <w:pPr>
        <w:spacing w:line="360" w:lineRule="auto"/>
        <w:ind w:firstLine="420" w:firstLineChars="200"/>
        <w:rPr>
          <w:rFonts w:ascii="宋体" w:hAnsi="宋体" w:cs="宋体"/>
          <w:color w:val="auto"/>
          <w:szCs w:val="21"/>
        </w:rPr>
      </w:pPr>
      <w:r>
        <w:rPr>
          <w:rFonts w:hint="eastAsia" w:ascii="宋体" w:hAnsi="宋体" w:cs="宋体"/>
          <w:color w:val="auto"/>
          <w:szCs w:val="21"/>
        </w:rPr>
        <w:t>低压断路器参考选用：杭州申发电气有限公司，GFW1，GFM1系列，常熟开关制造有限公司CW1，CM1系列，上海人民电股份有限公司人民电气厂RMW1，RMM1系列断路器系列，同等及以上品牌产品。</w:t>
      </w:r>
    </w:p>
    <w:p>
      <w:pPr>
        <w:numPr>
          <w:ilvl w:val="0"/>
          <w:numId w:val="5"/>
        </w:numPr>
        <w:spacing w:line="360" w:lineRule="auto"/>
        <w:rPr>
          <w:rFonts w:ascii="宋体" w:hAnsi="宋体"/>
          <w:szCs w:val="21"/>
        </w:rPr>
      </w:pPr>
      <w:r>
        <w:rPr>
          <w:rFonts w:hint="eastAsia" w:ascii="宋体" w:hAnsi="宋体"/>
          <w:szCs w:val="21"/>
        </w:rPr>
        <w:t>微机保护测控装置</w:t>
      </w:r>
    </w:p>
    <w:p>
      <w:pPr>
        <w:spacing w:line="360" w:lineRule="auto"/>
        <w:ind w:firstLine="420" w:firstLineChars="200"/>
        <w:rPr>
          <w:rFonts w:ascii="宋体" w:hAnsi="宋体" w:cs="宋体"/>
          <w:szCs w:val="21"/>
        </w:rPr>
      </w:pPr>
      <w:r>
        <w:rPr>
          <w:rFonts w:hint="eastAsia" w:ascii="宋体" w:hAnsi="宋体" w:cs="宋体"/>
          <w:szCs w:val="21"/>
        </w:rPr>
        <w:t>总体要求符合郑州市供电公司的验收标准，厂家须通过郑州市供电公司查验审核备案。微机保护测控装置参考选用许继电气股份有限公司、上海南自科技股份有限公司、郑州索菱电力科技有限公司，同等及以上品牌，所有综保采用中文大屏幕显示，通讯采用RS485接口，MODBUS通讯协议。</w:t>
      </w:r>
    </w:p>
    <w:p>
      <w:pPr>
        <w:spacing w:line="360" w:lineRule="auto"/>
        <w:ind w:firstLine="420" w:firstLineChars="200"/>
        <w:rPr>
          <w:rFonts w:ascii="宋体" w:hAnsi="宋体" w:cs="宋体"/>
          <w:szCs w:val="21"/>
        </w:rPr>
      </w:pPr>
      <w:r>
        <w:rPr>
          <w:rFonts w:hint="eastAsia" w:ascii="宋体" w:hAnsi="宋体" w:cs="宋体"/>
          <w:szCs w:val="21"/>
        </w:rPr>
        <w:t xml:space="preserve">1）保护装置的额定值 </w:t>
      </w:r>
    </w:p>
    <w:p>
      <w:pPr>
        <w:spacing w:line="360" w:lineRule="auto"/>
        <w:ind w:firstLine="420" w:firstLineChars="200"/>
        <w:rPr>
          <w:rFonts w:ascii="宋体" w:hAnsi="宋体" w:cs="宋体"/>
          <w:szCs w:val="21"/>
        </w:rPr>
      </w:pPr>
      <w:r>
        <w:rPr>
          <w:rFonts w:hint="eastAsia" w:ascii="宋体" w:hAnsi="宋体" w:cs="宋体"/>
          <w:szCs w:val="21"/>
        </w:rPr>
        <w:t>额定交流电压：220V；</w:t>
      </w:r>
    </w:p>
    <w:p>
      <w:pPr>
        <w:spacing w:line="360" w:lineRule="auto"/>
        <w:ind w:firstLine="420" w:firstLineChars="200"/>
        <w:rPr>
          <w:rFonts w:ascii="宋体" w:hAnsi="宋体" w:cs="宋体"/>
          <w:szCs w:val="21"/>
        </w:rPr>
      </w:pPr>
      <w:r>
        <w:rPr>
          <w:rFonts w:hint="eastAsia" w:ascii="宋体" w:hAnsi="宋体" w:cs="宋体"/>
          <w:szCs w:val="21"/>
        </w:rPr>
        <w:t>额定直流电压：220V；</w:t>
      </w:r>
    </w:p>
    <w:p>
      <w:pPr>
        <w:spacing w:line="360" w:lineRule="auto"/>
        <w:ind w:firstLine="420" w:firstLineChars="200"/>
        <w:rPr>
          <w:rFonts w:ascii="宋体" w:hAnsi="宋体" w:cs="宋体"/>
          <w:szCs w:val="21"/>
        </w:rPr>
      </w:pPr>
      <w:r>
        <w:rPr>
          <w:rFonts w:hint="eastAsia" w:ascii="宋体" w:hAnsi="宋体" w:cs="宋体"/>
          <w:szCs w:val="21"/>
        </w:rPr>
        <w:t>额定频率：50Hz；</w:t>
      </w:r>
    </w:p>
    <w:p>
      <w:pPr>
        <w:spacing w:line="360" w:lineRule="auto"/>
        <w:ind w:firstLine="420" w:firstLineChars="200"/>
        <w:rPr>
          <w:rFonts w:ascii="宋体" w:hAnsi="宋体" w:cs="宋体"/>
          <w:szCs w:val="21"/>
        </w:rPr>
      </w:pPr>
      <w:r>
        <w:rPr>
          <w:rFonts w:hint="eastAsia" w:ascii="宋体" w:hAnsi="宋体" w:cs="宋体"/>
          <w:szCs w:val="21"/>
        </w:rPr>
        <w:t>TA二次额定电流：5A；</w:t>
      </w:r>
    </w:p>
    <w:p>
      <w:pPr>
        <w:spacing w:line="360" w:lineRule="auto"/>
        <w:ind w:firstLine="420" w:firstLineChars="200"/>
        <w:rPr>
          <w:rFonts w:ascii="宋体" w:hAnsi="宋体" w:cs="宋体"/>
          <w:szCs w:val="21"/>
        </w:rPr>
      </w:pPr>
      <w:r>
        <w:rPr>
          <w:rFonts w:hint="eastAsia" w:ascii="宋体" w:hAnsi="宋体" w:cs="宋体"/>
          <w:szCs w:val="21"/>
        </w:rPr>
        <w:t>TV二次额定电压：100V（线电压），</w:t>
      </w:r>
      <w:r>
        <w:rPr>
          <w:rFonts w:ascii="宋体" w:hAnsi="宋体" w:cs="宋体"/>
          <w:szCs w:val="21"/>
        </w:rPr>
        <w:t>100V/</w:t>
      </w:r>
      <w:r>
        <w:rPr>
          <w:rFonts w:ascii="宋体" w:hAnsi="宋体" w:cs="宋体"/>
          <w:szCs w:val="21"/>
        </w:rPr>
        <w:object>
          <v:shape id="_x0000_i1025" o:spt="75" type="#_x0000_t75" style="height:16.5pt;width:15.75pt;" o:ole="t" filled="f" o:preferrelative="t" stroked="f" coordsize="21600,21600">
            <v:path/>
            <v:fill on="f" focussize="0,0"/>
            <v:stroke on="f" joinstyle="miter"/>
            <v:imagedata r:id="rId8" o:title=""/>
            <o:lock v:ext="edit" aspectratio="t"/>
            <w10:wrap type="none"/>
            <w10:anchorlock/>
          </v:shape>
          <o:OLEObject Type="Embed" ProgID="Equation.DSMT4" ShapeID="_x0000_i1025" DrawAspect="Content" ObjectID="_1468075725" r:id="rId7">
            <o:LockedField>false</o:LockedField>
          </o:OLEObject>
        </w:object>
      </w:r>
      <w:r>
        <w:rPr>
          <w:rFonts w:hint="eastAsia" w:ascii="宋体" w:hAnsi="宋体" w:cs="宋体"/>
          <w:szCs w:val="21"/>
        </w:rPr>
        <w:t>（相电压）。</w:t>
      </w:r>
    </w:p>
    <w:p>
      <w:pPr>
        <w:spacing w:line="360" w:lineRule="auto"/>
        <w:ind w:firstLine="420" w:firstLineChars="200"/>
        <w:rPr>
          <w:rFonts w:ascii="宋体" w:hAnsi="宋体" w:cs="宋体"/>
          <w:szCs w:val="21"/>
        </w:rPr>
      </w:pPr>
      <w:r>
        <w:rPr>
          <w:rFonts w:hint="eastAsia" w:ascii="宋体" w:hAnsi="宋体" w:cs="宋体"/>
          <w:szCs w:val="21"/>
        </w:rPr>
        <w:t>2）系统安装运行环境</w:t>
      </w:r>
    </w:p>
    <w:p>
      <w:pPr>
        <w:spacing w:line="360" w:lineRule="auto"/>
        <w:ind w:firstLine="420" w:firstLineChars="200"/>
        <w:rPr>
          <w:rFonts w:ascii="宋体" w:hAnsi="宋体" w:cs="宋体"/>
          <w:szCs w:val="21"/>
        </w:rPr>
      </w:pPr>
      <w:r>
        <w:rPr>
          <w:rFonts w:hint="eastAsia" w:ascii="宋体" w:hAnsi="宋体" w:cs="宋体"/>
          <w:szCs w:val="21"/>
        </w:rPr>
        <w:t>最高温度：+45℃。</w:t>
      </w:r>
    </w:p>
    <w:p>
      <w:pPr>
        <w:spacing w:line="360" w:lineRule="auto"/>
        <w:ind w:firstLine="420" w:firstLineChars="200"/>
        <w:rPr>
          <w:rFonts w:ascii="宋体" w:hAnsi="宋体" w:cs="宋体"/>
          <w:szCs w:val="21"/>
        </w:rPr>
      </w:pPr>
      <w:r>
        <w:rPr>
          <w:rFonts w:hint="eastAsia" w:ascii="宋体" w:hAnsi="宋体" w:cs="宋体"/>
          <w:szCs w:val="21"/>
        </w:rPr>
        <w:t>最低温度：-10℃。</w:t>
      </w:r>
    </w:p>
    <w:p>
      <w:pPr>
        <w:spacing w:line="360" w:lineRule="auto"/>
        <w:ind w:firstLine="420" w:firstLineChars="200"/>
        <w:rPr>
          <w:rFonts w:ascii="宋体" w:hAnsi="宋体" w:cs="宋体"/>
          <w:szCs w:val="21"/>
        </w:rPr>
      </w:pPr>
      <w:r>
        <w:rPr>
          <w:rFonts w:hint="eastAsia" w:ascii="宋体" w:hAnsi="宋体" w:cs="宋体"/>
          <w:szCs w:val="21"/>
        </w:rPr>
        <w:t>装置应能满足规范书所规定的精度；装置应能正常工作，不拒动、不误动。</w:t>
      </w:r>
    </w:p>
    <w:p>
      <w:pPr>
        <w:spacing w:line="360" w:lineRule="auto"/>
        <w:ind w:firstLine="420" w:firstLineChars="200"/>
        <w:rPr>
          <w:rFonts w:ascii="宋体" w:hAnsi="宋体" w:cs="宋体"/>
          <w:szCs w:val="21"/>
        </w:rPr>
      </w:pPr>
      <w:r>
        <w:rPr>
          <w:rFonts w:hint="eastAsia" w:ascii="宋体" w:hAnsi="宋体" w:cs="宋体"/>
          <w:szCs w:val="21"/>
        </w:rPr>
        <w:t>环境相对湿度平均值：&lt; 90％。</w:t>
      </w:r>
    </w:p>
    <w:p>
      <w:pPr>
        <w:spacing w:line="360" w:lineRule="auto"/>
        <w:ind w:firstLine="420" w:firstLineChars="200"/>
        <w:rPr>
          <w:rFonts w:ascii="宋体" w:hAnsi="宋体" w:cs="宋体"/>
          <w:szCs w:val="21"/>
        </w:rPr>
      </w:pPr>
      <w:r>
        <w:rPr>
          <w:rFonts w:hint="eastAsia" w:ascii="宋体" w:hAnsi="宋体" w:cs="宋体"/>
          <w:szCs w:val="21"/>
        </w:rPr>
        <w:t>3）耐受过电压的能力</w:t>
      </w:r>
    </w:p>
    <w:p>
      <w:pPr>
        <w:spacing w:line="360" w:lineRule="auto"/>
        <w:ind w:firstLine="420" w:firstLineChars="200"/>
        <w:rPr>
          <w:rFonts w:ascii="宋体" w:hAnsi="宋体" w:cs="宋体"/>
          <w:szCs w:val="21"/>
        </w:rPr>
      </w:pPr>
      <w:r>
        <w:rPr>
          <w:rFonts w:hint="eastAsia" w:ascii="宋体" w:hAnsi="宋体" w:cs="宋体"/>
          <w:szCs w:val="21"/>
        </w:rPr>
        <w:t>保护装置应具有根据IEC标准所确定的耐受过电压的能力。</w:t>
      </w:r>
    </w:p>
    <w:p>
      <w:pPr>
        <w:spacing w:line="360" w:lineRule="auto"/>
        <w:ind w:firstLine="420" w:firstLineChars="200"/>
        <w:rPr>
          <w:rFonts w:ascii="宋体" w:hAnsi="宋体" w:cs="宋体"/>
          <w:szCs w:val="21"/>
        </w:rPr>
      </w:pPr>
      <w:r>
        <w:rPr>
          <w:rFonts w:hint="eastAsia" w:ascii="宋体" w:hAnsi="宋体" w:cs="宋体"/>
          <w:szCs w:val="21"/>
        </w:rPr>
        <w:t>4）互感器的二次回路故障</w:t>
      </w:r>
    </w:p>
    <w:p>
      <w:pPr>
        <w:spacing w:line="360" w:lineRule="auto"/>
        <w:ind w:firstLine="420" w:firstLineChars="200"/>
        <w:rPr>
          <w:rFonts w:ascii="宋体" w:hAnsi="宋体" w:cs="宋体"/>
          <w:szCs w:val="21"/>
        </w:rPr>
      </w:pPr>
      <w:r>
        <w:rPr>
          <w:rFonts w:hint="eastAsia" w:ascii="宋体" w:hAnsi="宋体" w:cs="宋体"/>
          <w:szCs w:val="21"/>
        </w:rPr>
        <w:t>保护装置在电压互感器二次回路断线（包括三相断线）、失压时，应发告警信号，并闭锁有可能误动的保护；保护装置在电流互感器二次回路不正常或断线时，应发告警信号，并可选择延时闭锁保护。</w:t>
      </w:r>
    </w:p>
    <w:p>
      <w:pPr>
        <w:spacing w:line="360" w:lineRule="auto"/>
        <w:ind w:firstLine="420" w:firstLineChars="200"/>
        <w:rPr>
          <w:rFonts w:ascii="宋体" w:hAnsi="宋体" w:cs="宋体"/>
          <w:szCs w:val="21"/>
        </w:rPr>
      </w:pPr>
      <w:r>
        <w:rPr>
          <w:rFonts w:hint="eastAsia" w:ascii="宋体" w:hAnsi="宋体" w:cs="宋体"/>
          <w:szCs w:val="21"/>
        </w:rPr>
        <w:t>5）保护值的整定</w:t>
      </w:r>
    </w:p>
    <w:p>
      <w:pPr>
        <w:spacing w:line="360" w:lineRule="auto"/>
        <w:ind w:firstLine="420" w:firstLineChars="200"/>
        <w:rPr>
          <w:rFonts w:ascii="宋体" w:hAnsi="宋体" w:cs="宋体"/>
          <w:szCs w:val="21"/>
        </w:rPr>
      </w:pPr>
      <w:r>
        <w:rPr>
          <w:rFonts w:hint="eastAsia" w:ascii="宋体" w:hAnsi="宋体" w:cs="宋体"/>
          <w:szCs w:val="21"/>
        </w:rPr>
        <w:t>应能从屏（柜）的正面方便而又可靠地改变继电保护的定值；</w:t>
      </w:r>
    </w:p>
    <w:p>
      <w:pPr>
        <w:spacing w:line="360" w:lineRule="auto"/>
        <w:ind w:firstLine="420" w:firstLineChars="200"/>
        <w:rPr>
          <w:rFonts w:ascii="宋体" w:hAnsi="宋体" w:cs="宋体"/>
          <w:szCs w:val="21"/>
        </w:rPr>
      </w:pPr>
      <w:r>
        <w:rPr>
          <w:rFonts w:hint="eastAsia" w:ascii="宋体" w:hAnsi="宋体" w:cs="宋体"/>
          <w:szCs w:val="21"/>
        </w:rPr>
        <w:t>具备远方修改定值、切换定值区、投退软压板的功能。应具备存储 8 套以上的保护定值。</w:t>
      </w:r>
    </w:p>
    <w:p>
      <w:pPr>
        <w:spacing w:line="360" w:lineRule="auto"/>
        <w:ind w:firstLine="420" w:firstLineChars="200"/>
        <w:rPr>
          <w:rFonts w:ascii="宋体" w:hAnsi="宋体" w:cs="宋体"/>
          <w:szCs w:val="21"/>
        </w:rPr>
      </w:pPr>
      <w:r>
        <w:rPr>
          <w:rFonts w:hint="eastAsia" w:ascii="宋体" w:hAnsi="宋体" w:cs="宋体"/>
          <w:szCs w:val="21"/>
        </w:rPr>
        <w:t>6）暂态电流的影响</w:t>
      </w:r>
    </w:p>
    <w:p>
      <w:pPr>
        <w:spacing w:line="360" w:lineRule="auto"/>
        <w:ind w:firstLine="420" w:firstLineChars="200"/>
        <w:rPr>
          <w:rFonts w:ascii="宋体" w:hAnsi="宋体" w:cs="宋体"/>
          <w:szCs w:val="21"/>
        </w:rPr>
      </w:pPr>
      <w:r>
        <w:rPr>
          <w:rFonts w:hint="eastAsia" w:ascii="宋体" w:hAnsi="宋体" w:cs="宋体"/>
          <w:szCs w:val="21"/>
        </w:rPr>
        <w:t>保护装置不应受由输电线路的分布电容、谐波电流、变压器涌流的影响而发生误动。</w:t>
      </w:r>
    </w:p>
    <w:p>
      <w:pPr>
        <w:spacing w:line="360" w:lineRule="auto"/>
        <w:ind w:firstLine="420" w:firstLineChars="200"/>
        <w:rPr>
          <w:rFonts w:ascii="宋体" w:hAnsi="宋体" w:cs="宋体"/>
          <w:szCs w:val="21"/>
        </w:rPr>
      </w:pPr>
      <w:r>
        <w:rPr>
          <w:rFonts w:hint="eastAsia" w:ascii="宋体" w:hAnsi="宋体" w:cs="宋体"/>
          <w:szCs w:val="21"/>
        </w:rPr>
        <w:t>7）设备之间的信号传送</w:t>
      </w:r>
    </w:p>
    <w:p>
      <w:pPr>
        <w:spacing w:line="360" w:lineRule="auto"/>
        <w:ind w:firstLine="420" w:firstLineChars="200"/>
        <w:rPr>
          <w:rFonts w:ascii="宋体" w:hAnsi="宋体" w:cs="宋体"/>
          <w:szCs w:val="21"/>
        </w:rPr>
      </w:pPr>
      <w:r>
        <w:rPr>
          <w:rFonts w:hint="eastAsia" w:ascii="宋体" w:hAnsi="宋体" w:cs="宋体"/>
          <w:szCs w:val="21"/>
        </w:rPr>
        <w:t>各保护装置之间、保护与通信设备之间或其他设备之间的联系应由继电器的无压接点（或光电耦合）来连接，继电器接点的绝缘强度试验为交流2000V，历时1</w:t>
      </w:r>
      <w:r>
        <w:rPr>
          <w:rFonts w:ascii="宋体" w:hAnsi="宋体" w:cs="宋体"/>
          <w:szCs w:val="21"/>
        </w:rPr>
        <w:t>min</w:t>
      </w:r>
      <w:r>
        <w:rPr>
          <w:rFonts w:hint="eastAsia" w:ascii="宋体" w:hAnsi="宋体" w:cs="宋体"/>
          <w:szCs w:val="21"/>
        </w:rPr>
        <w:t>。</w:t>
      </w:r>
    </w:p>
    <w:p>
      <w:pPr>
        <w:spacing w:line="360" w:lineRule="auto"/>
        <w:ind w:firstLine="420" w:firstLineChars="200"/>
        <w:rPr>
          <w:rFonts w:ascii="宋体" w:hAnsi="宋体" w:cs="宋体"/>
          <w:szCs w:val="21"/>
        </w:rPr>
      </w:pPr>
      <w:r>
        <w:rPr>
          <w:rFonts w:hint="eastAsia" w:ascii="宋体" w:hAnsi="宋体" w:cs="宋体"/>
          <w:szCs w:val="21"/>
        </w:rPr>
        <w:t>8）跳闸显示和监视</w:t>
      </w:r>
    </w:p>
    <w:p>
      <w:pPr>
        <w:spacing w:line="360" w:lineRule="auto"/>
        <w:ind w:firstLine="420" w:firstLineChars="200"/>
        <w:rPr>
          <w:rFonts w:ascii="宋体" w:hAnsi="宋体" w:cs="宋体"/>
          <w:szCs w:val="21"/>
        </w:rPr>
      </w:pPr>
      <w:r>
        <w:rPr>
          <w:rFonts w:hint="eastAsia" w:ascii="宋体" w:hAnsi="宋体" w:cs="宋体"/>
          <w:szCs w:val="21"/>
        </w:rPr>
        <w:t>保护动作使断路器跳闸，则所有使断路器跳闸的保护动作信号应显示出来，并应自保持，直到手动复位或远方复位。</w:t>
      </w:r>
    </w:p>
    <w:p>
      <w:pPr>
        <w:spacing w:line="360" w:lineRule="auto"/>
        <w:ind w:firstLine="420" w:firstLineChars="200"/>
        <w:rPr>
          <w:rFonts w:ascii="宋体" w:hAnsi="宋体" w:cs="宋体"/>
          <w:szCs w:val="21"/>
        </w:rPr>
      </w:pPr>
      <w:r>
        <w:rPr>
          <w:rFonts w:hint="eastAsia" w:ascii="宋体" w:hAnsi="宋体" w:cs="宋体"/>
          <w:szCs w:val="21"/>
        </w:rPr>
        <w:t xml:space="preserve">9）连续监视和自动检查功能 </w:t>
      </w:r>
    </w:p>
    <w:p>
      <w:pPr>
        <w:spacing w:line="360" w:lineRule="auto"/>
        <w:ind w:firstLine="420" w:firstLineChars="200"/>
        <w:rPr>
          <w:rFonts w:ascii="宋体" w:hAnsi="宋体" w:cs="宋体"/>
          <w:szCs w:val="21"/>
        </w:rPr>
      </w:pPr>
      <w:r>
        <w:rPr>
          <w:rFonts w:hint="eastAsia" w:ascii="宋体" w:hAnsi="宋体" w:cs="宋体"/>
          <w:szCs w:val="21"/>
        </w:rPr>
        <w:t>（1）装置应具有对主要回路进行监视的功能，回路不正常时，应能发出不正常信号。</w:t>
      </w:r>
    </w:p>
    <w:p>
      <w:pPr>
        <w:spacing w:line="360" w:lineRule="auto"/>
        <w:ind w:firstLine="420" w:firstLineChars="200"/>
        <w:rPr>
          <w:rFonts w:ascii="宋体" w:hAnsi="宋体" w:cs="宋体"/>
          <w:szCs w:val="21"/>
        </w:rPr>
      </w:pPr>
      <w:r>
        <w:rPr>
          <w:rFonts w:hint="eastAsia" w:ascii="宋体" w:hAnsi="宋体" w:cs="宋体"/>
          <w:szCs w:val="21"/>
        </w:rPr>
        <w:t>（2）装置应具有在线自动检查功能，包括装置硬件损坏、功能失效和二次回路异常运行状态的自动检测。应提供试验按钮、试验投切开关或连接片，以便在试验期间不必拆除连接电缆。</w:t>
      </w:r>
    </w:p>
    <w:p>
      <w:pPr>
        <w:spacing w:line="360" w:lineRule="auto"/>
        <w:ind w:firstLine="420" w:firstLineChars="200"/>
        <w:rPr>
          <w:rFonts w:ascii="宋体" w:hAnsi="宋体" w:cs="宋体"/>
          <w:szCs w:val="21"/>
        </w:rPr>
      </w:pPr>
      <w:r>
        <w:rPr>
          <w:rFonts w:hint="eastAsia" w:ascii="宋体" w:hAnsi="宋体" w:cs="宋体"/>
          <w:szCs w:val="21"/>
        </w:rPr>
        <w:t>10）保护装置使用RS-485串行数据通信接口接受</w:t>
      </w:r>
      <w:r>
        <w:rPr>
          <w:rFonts w:ascii="宋体" w:hAnsi="宋体" w:cs="宋体"/>
          <w:szCs w:val="21"/>
        </w:rPr>
        <w:t>时间同步</w:t>
      </w:r>
      <w:r>
        <w:rPr>
          <w:rFonts w:hint="eastAsia" w:ascii="宋体" w:hAnsi="宋体" w:cs="宋体"/>
          <w:szCs w:val="21"/>
        </w:rPr>
        <w:t>发出的IRIG-B（DC）时码对时接口要求引接至保护屏端子排，对时误差&lt;1ms。</w:t>
      </w:r>
    </w:p>
    <w:p>
      <w:pPr>
        <w:spacing w:line="360" w:lineRule="auto"/>
        <w:ind w:firstLine="420" w:firstLineChars="200"/>
        <w:rPr>
          <w:rFonts w:ascii="宋体" w:hAnsi="宋体" w:cs="宋体"/>
          <w:szCs w:val="21"/>
        </w:rPr>
      </w:pPr>
      <w:r>
        <w:rPr>
          <w:rFonts w:hint="eastAsia" w:ascii="宋体" w:hAnsi="宋体" w:cs="宋体"/>
          <w:szCs w:val="21"/>
        </w:rPr>
        <w:t>11）保护装置应具有故障录波功能，可保留32次以上动作报告。</w:t>
      </w:r>
    </w:p>
    <w:p>
      <w:pPr>
        <w:spacing w:line="360" w:lineRule="auto"/>
        <w:ind w:firstLine="420" w:firstLineChars="200"/>
        <w:rPr>
          <w:rFonts w:ascii="宋体" w:hAnsi="宋体" w:cs="宋体"/>
          <w:szCs w:val="21"/>
        </w:rPr>
      </w:pPr>
      <w:r>
        <w:rPr>
          <w:rFonts w:hint="eastAsia" w:ascii="宋体" w:hAnsi="宋体" w:cs="宋体"/>
          <w:szCs w:val="21"/>
        </w:rPr>
        <w:t>12）抗干扰能力</w:t>
      </w:r>
    </w:p>
    <w:p>
      <w:pPr>
        <w:spacing w:line="360" w:lineRule="auto"/>
        <w:ind w:firstLine="420" w:firstLineChars="200"/>
        <w:rPr>
          <w:rFonts w:ascii="宋体" w:hAnsi="宋体" w:cs="宋体"/>
          <w:szCs w:val="21"/>
        </w:rPr>
      </w:pPr>
      <w:r>
        <w:rPr>
          <w:rFonts w:hint="eastAsia" w:ascii="宋体" w:hAnsi="宋体" w:cs="宋体"/>
          <w:szCs w:val="21"/>
        </w:rPr>
        <w:t>设备应满足抗电磁场干扰及静电影响的要求，在雷击过电压、操作过电压发生及一次设备出现短路故障时，设备不应误动作，系统具有交流和直流的防雷保护措施。所有设备均应满足抗干扰试验（GB/T 17626—4）的等级要求。</w:t>
      </w:r>
    </w:p>
    <w:p>
      <w:pPr>
        <w:spacing w:line="360" w:lineRule="auto"/>
        <w:ind w:firstLine="420" w:firstLineChars="200"/>
        <w:rPr>
          <w:rFonts w:ascii="宋体" w:hAnsi="宋体" w:cs="宋体"/>
          <w:szCs w:val="21"/>
        </w:rPr>
      </w:pPr>
      <w:r>
        <w:rPr>
          <w:rFonts w:hint="eastAsia" w:ascii="宋体" w:hAnsi="宋体" w:cs="宋体"/>
          <w:szCs w:val="21"/>
        </w:rPr>
        <w:t>13）微机综合保护装置CPU至少是32位机，大屏幕液晶显示器，能够实时显示一次主接线图及功能菜单。监控装置的保护CT和测量CT必须独立分开。</w:t>
      </w:r>
    </w:p>
    <w:p>
      <w:pPr>
        <w:spacing w:line="360" w:lineRule="auto"/>
        <w:ind w:firstLine="420" w:firstLineChars="200"/>
        <w:rPr>
          <w:rFonts w:ascii="宋体" w:hAnsi="宋体" w:cs="宋体"/>
          <w:szCs w:val="21"/>
        </w:rPr>
      </w:pPr>
      <w:r>
        <w:rPr>
          <w:rFonts w:hint="eastAsia" w:ascii="宋体" w:hAnsi="宋体" w:cs="宋体"/>
          <w:szCs w:val="21"/>
        </w:rPr>
        <w:t>14）微机保护监控装置应具有独立的控制按键、紧急跳闸按键，能够非常方便地控制断路器等开关元件，不得采用菜单命令方式进行控制。</w:t>
      </w:r>
    </w:p>
    <w:p>
      <w:pPr>
        <w:spacing w:line="360" w:lineRule="auto"/>
        <w:ind w:firstLine="420" w:firstLineChars="200"/>
        <w:rPr>
          <w:rFonts w:ascii="宋体" w:hAnsi="宋体" w:cs="宋体"/>
          <w:szCs w:val="21"/>
        </w:rPr>
      </w:pPr>
      <w:r>
        <w:rPr>
          <w:rFonts w:hint="eastAsia" w:ascii="宋体" w:hAnsi="宋体" w:cs="宋体"/>
          <w:szCs w:val="21"/>
        </w:rPr>
        <w:t>15）微机智能测控装置应为液晶屏幕显示，同时显示至少5个电参数，中文显示，内容可以任意设定。具有至少19次电流、电压谐波分析测量功能。通讯采用RS485接口 MODBUS通讯协议，带单模光纤通讯口。</w:t>
      </w:r>
    </w:p>
    <w:p>
      <w:pPr>
        <w:spacing w:line="360" w:lineRule="auto"/>
        <w:ind w:firstLine="420" w:firstLineChars="200"/>
        <w:rPr>
          <w:rFonts w:ascii="宋体" w:hAnsi="宋体"/>
          <w:b/>
          <w:bCs/>
          <w:szCs w:val="21"/>
        </w:rPr>
      </w:pPr>
      <w:r>
        <w:rPr>
          <w:rFonts w:hint="eastAsia" w:ascii="宋体" w:hAnsi="宋体" w:cs="宋体"/>
          <w:szCs w:val="21"/>
        </w:rPr>
        <w:t>16）</w:t>
      </w:r>
      <w:r>
        <w:rPr>
          <w:rFonts w:hint="eastAsia" w:ascii="宋体" w:hAnsi="宋体"/>
          <w:b/>
          <w:bCs/>
          <w:szCs w:val="21"/>
        </w:rPr>
        <w:t>郑州市供电公司要求必备功能</w:t>
      </w:r>
    </w:p>
    <w:p>
      <w:pPr>
        <w:spacing w:line="360" w:lineRule="auto"/>
        <w:ind w:firstLine="420" w:firstLineChars="200"/>
        <w:rPr>
          <w:rFonts w:ascii="宋体" w:hAnsi="宋体"/>
          <w:szCs w:val="21"/>
        </w:rPr>
      </w:pPr>
      <w:r>
        <w:rPr>
          <w:rFonts w:hint="eastAsia" w:ascii="宋体" w:hAnsi="宋体"/>
          <w:szCs w:val="21"/>
        </w:rPr>
        <w:t>（1）PT断线告警单独报警出口</w:t>
      </w:r>
    </w:p>
    <w:p>
      <w:pPr>
        <w:spacing w:line="360" w:lineRule="auto"/>
        <w:ind w:firstLine="420" w:firstLineChars="200"/>
        <w:rPr>
          <w:rFonts w:ascii="宋体" w:hAnsi="宋体"/>
          <w:szCs w:val="21"/>
        </w:rPr>
      </w:pPr>
      <w:r>
        <w:rPr>
          <w:rFonts w:hint="eastAsia" w:ascii="宋体" w:hAnsi="宋体"/>
          <w:szCs w:val="21"/>
        </w:rPr>
        <w:t>（2）弹簧储能单独报警出口</w:t>
      </w:r>
    </w:p>
    <w:p>
      <w:pPr>
        <w:spacing w:line="360" w:lineRule="auto"/>
        <w:ind w:firstLine="420" w:firstLineChars="200"/>
        <w:rPr>
          <w:rFonts w:ascii="宋体" w:hAnsi="宋体"/>
          <w:szCs w:val="21"/>
        </w:rPr>
      </w:pPr>
      <w:r>
        <w:rPr>
          <w:rFonts w:hint="eastAsia" w:ascii="宋体" w:hAnsi="宋体"/>
          <w:szCs w:val="21"/>
        </w:rPr>
        <w:t>（3）控制回路断线单独报警出口</w:t>
      </w:r>
    </w:p>
    <w:p>
      <w:pPr>
        <w:spacing w:line="360" w:lineRule="auto"/>
        <w:ind w:firstLine="420" w:firstLineChars="200"/>
        <w:rPr>
          <w:rFonts w:ascii="宋体" w:hAnsi="宋体"/>
          <w:szCs w:val="21"/>
        </w:rPr>
      </w:pPr>
      <w:r>
        <w:rPr>
          <w:rFonts w:hint="eastAsia" w:ascii="宋体" w:hAnsi="宋体"/>
          <w:szCs w:val="21"/>
        </w:rPr>
        <w:t>（4）装置故障告警单独报警出口</w:t>
      </w:r>
    </w:p>
    <w:p>
      <w:pPr>
        <w:spacing w:line="360" w:lineRule="auto"/>
        <w:ind w:firstLine="420" w:firstLineChars="200"/>
        <w:rPr>
          <w:rFonts w:ascii="宋体" w:hAnsi="宋体"/>
          <w:szCs w:val="21"/>
        </w:rPr>
      </w:pPr>
      <w:r>
        <w:rPr>
          <w:rFonts w:hint="eastAsia" w:ascii="宋体" w:hAnsi="宋体"/>
          <w:szCs w:val="21"/>
        </w:rPr>
        <w:t>（5）断路器偷跳报警</w:t>
      </w:r>
    </w:p>
    <w:p>
      <w:pPr>
        <w:spacing w:line="360" w:lineRule="auto"/>
        <w:ind w:firstLine="420" w:firstLineChars="200"/>
        <w:rPr>
          <w:rFonts w:ascii="宋体" w:hAnsi="宋体"/>
          <w:szCs w:val="21"/>
        </w:rPr>
      </w:pPr>
      <w:r>
        <w:rPr>
          <w:rFonts w:hint="eastAsia" w:ascii="宋体" w:hAnsi="宋体"/>
          <w:szCs w:val="21"/>
        </w:rPr>
        <w:t>（6）低压零序单独报警出口</w:t>
      </w:r>
    </w:p>
    <w:p>
      <w:pPr>
        <w:spacing w:line="360" w:lineRule="auto"/>
        <w:ind w:firstLine="420" w:firstLineChars="200"/>
        <w:rPr>
          <w:rFonts w:ascii="宋体" w:hAnsi="宋体"/>
          <w:szCs w:val="21"/>
        </w:rPr>
      </w:pPr>
      <w:r>
        <w:rPr>
          <w:rFonts w:hint="eastAsia" w:ascii="宋体" w:hAnsi="宋体"/>
          <w:szCs w:val="21"/>
        </w:rPr>
        <w:t>（7）温控器故障单独报警出口</w:t>
      </w:r>
    </w:p>
    <w:p>
      <w:pPr>
        <w:spacing w:line="360" w:lineRule="auto"/>
        <w:ind w:firstLine="420" w:firstLineChars="200"/>
        <w:rPr>
          <w:rFonts w:ascii="宋体" w:hAnsi="宋体"/>
          <w:szCs w:val="21"/>
        </w:rPr>
      </w:pPr>
      <w:r>
        <w:rPr>
          <w:rFonts w:hint="eastAsia" w:ascii="宋体" w:hAnsi="宋体"/>
          <w:szCs w:val="21"/>
        </w:rPr>
        <w:t>（8）温度跳闸单独报警出口</w:t>
      </w:r>
    </w:p>
    <w:p>
      <w:pPr>
        <w:spacing w:line="360" w:lineRule="auto"/>
        <w:ind w:firstLine="420" w:firstLineChars="200"/>
        <w:rPr>
          <w:rFonts w:ascii="宋体" w:hAnsi="宋体"/>
          <w:szCs w:val="21"/>
        </w:rPr>
      </w:pPr>
      <w:r>
        <w:rPr>
          <w:rFonts w:hint="eastAsia" w:ascii="宋体" w:hAnsi="宋体"/>
          <w:szCs w:val="21"/>
        </w:rPr>
        <w:t>（9）开出量现场可编程功能</w:t>
      </w:r>
    </w:p>
    <w:p>
      <w:pPr>
        <w:rPr>
          <w:rFonts w:ascii="宋体" w:hAnsi="宋体"/>
          <w:szCs w:val="21"/>
        </w:rPr>
      </w:pPr>
      <w:r>
        <w:rPr>
          <w:rFonts w:hint="eastAsia" w:ascii="宋体" w:hAnsi="宋体"/>
          <w:szCs w:val="21"/>
        </w:rPr>
        <w:t>4.无功补偿装置</w:t>
      </w:r>
    </w:p>
    <w:p>
      <w:pPr>
        <w:spacing w:line="360" w:lineRule="auto"/>
        <w:rPr>
          <w:rFonts w:ascii="宋体" w:hAnsi="宋体"/>
          <w:szCs w:val="21"/>
        </w:rPr>
      </w:pPr>
      <w:r>
        <w:rPr>
          <w:rFonts w:hint="eastAsia" w:ascii="宋体" w:hAnsi="宋体"/>
          <w:szCs w:val="21"/>
        </w:rPr>
        <w:t>（1）采用电容加电抗的形式，要求功率因数不低于0.9以上；</w:t>
      </w:r>
    </w:p>
    <w:p>
      <w:pPr>
        <w:spacing w:line="360" w:lineRule="auto"/>
        <w:rPr>
          <w:rFonts w:ascii="宋体" w:hAnsi="宋体"/>
          <w:szCs w:val="21"/>
        </w:rPr>
      </w:pPr>
      <w:r>
        <w:rPr>
          <w:rFonts w:hint="eastAsia" w:ascii="宋体" w:hAnsi="宋体"/>
          <w:szCs w:val="21"/>
        </w:rPr>
        <w:t>（2）电容器技术参数：</w:t>
      </w:r>
    </w:p>
    <w:p>
      <w:pPr>
        <w:widowControl/>
        <w:spacing w:line="360" w:lineRule="auto"/>
        <w:ind w:left="210" w:leftChars="100"/>
        <w:rPr>
          <w:rFonts w:ascii="宋体" w:hAnsi="宋体"/>
          <w:szCs w:val="21"/>
        </w:rPr>
      </w:pPr>
      <w:r>
        <w:rPr>
          <w:rFonts w:hint="eastAsia" w:ascii="宋体" w:hAnsi="宋体"/>
          <w:szCs w:val="21"/>
        </w:rPr>
        <w:t>海拔高度：≤2 0 0 0 m</w:t>
      </w:r>
    </w:p>
    <w:p>
      <w:pPr>
        <w:widowControl/>
        <w:spacing w:line="360" w:lineRule="auto"/>
        <w:ind w:left="210" w:leftChars="100"/>
        <w:jc w:val="left"/>
        <w:rPr>
          <w:rFonts w:ascii="宋体" w:hAnsi="宋体"/>
          <w:szCs w:val="21"/>
        </w:rPr>
      </w:pPr>
      <w:r>
        <w:rPr>
          <w:rFonts w:hint="eastAsia" w:ascii="宋体" w:hAnsi="宋体"/>
          <w:szCs w:val="21"/>
        </w:rPr>
        <w:t>环境温度：- 5 0℃～+ 5 5℃</w:t>
      </w:r>
    </w:p>
    <w:p>
      <w:pPr>
        <w:widowControl/>
        <w:spacing w:line="360" w:lineRule="auto"/>
        <w:ind w:left="210" w:leftChars="100"/>
        <w:jc w:val="left"/>
        <w:rPr>
          <w:rFonts w:ascii="宋体" w:hAnsi="宋体"/>
          <w:szCs w:val="21"/>
        </w:rPr>
      </w:pPr>
      <w:r>
        <w:rPr>
          <w:rFonts w:hint="eastAsia" w:ascii="宋体" w:hAnsi="宋体"/>
          <w:szCs w:val="21"/>
        </w:rPr>
        <w:t>相对湿度：无凝露</w:t>
      </w:r>
    </w:p>
    <w:p>
      <w:pPr>
        <w:widowControl/>
        <w:spacing w:line="360" w:lineRule="auto"/>
        <w:ind w:left="210" w:leftChars="100"/>
        <w:jc w:val="left"/>
        <w:rPr>
          <w:rFonts w:ascii="宋体" w:hAnsi="宋体"/>
          <w:szCs w:val="21"/>
        </w:rPr>
      </w:pPr>
      <w:r>
        <w:rPr>
          <w:rFonts w:hint="eastAsia" w:ascii="宋体" w:hAnsi="宋体"/>
          <w:szCs w:val="21"/>
        </w:rPr>
        <w:t>环境条件：无腐蚀气体，无导电或爆炸性尘埃，无剧烈振动</w:t>
      </w:r>
    </w:p>
    <w:p>
      <w:pPr>
        <w:widowControl/>
        <w:spacing w:line="360" w:lineRule="auto"/>
        <w:ind w:left="210" w:leftChars="100"/>
        <w:jc w:val="left"/>
        <w:rPr>
          <w:rFonts w:ascii="宋体" w:hAnsi="宋体"/>
          <w:szCs w:val="21"/>
        </w:rPr>
      </w:pPr>
      <w:r>
        <w:rPr>
          <w:rFonts w:hint="eastAsia" w:ascii="宋体" w:hAnsi="宋体"/>
          <w:szCs w:val="21"/>
        </w:rPr>
        <w:t>容量偏差：0～1 0 %</w:t>
      </w:r>
    </w:p>
    <w:p>
      <w:pPr>
        <w:widowControl/>
        <w:spacing w:line="360" w:lineRule="auto"/>
        <w:ind w:left="210" w:leftChars="100"/>
        <w:jc w:val="left"/>
        <w:rPr>
          <w:rFonts w:ascii="宋体" w:hAnsi="宋体"/>
          <w:szCs w:val="21"/>
        </w:rPr>
      </w:pPr>
      <w:r>
        <w:rPr>
          <w:rFonts w:hint="eastAsia" w:ascii="宋体" w:hAnsi="宋体"/>
          <w:szCs w:val="21"/>
        </w:rPr>
        <w:t>介质损耗角正切值：≤0 . 0 0 2 0 1 0 0 H z</w:t>
      </w:r>
    </w:p>
    <w:p>
      <w:pPr>
        <w:widowControl/>
        <w:spacing w:line="360" w:lineRule="auto"/>
        <w:ind w:left="210" w:leftChars="100"/>
        <w:jc w:val="left"/>
        <w:rPr>
          <w:rFonts w:ascii="宋体" w:hAnsi="宋体"/>
          <w:szCs w:val="21"/>
        </w:rPr>
      </w:pPr>
      <w:r>
        <w:rPr>
          <w:rFonts w:hint="eastAsia" w:ascii="宋体" w:hAnsi="宋体"/>
          <w:szCs w:val="21"/>
        </w:rPr>
        <w:t>极间耐压：2 . 1 5 U e V a c 1 0 s</w:t>
      </w:r>
    </w:p>
    <w:p>
      <w:pPr>
        <w:widowControl/>
        <w:spacing w:line="360" w:lineRule="auto"/>
        <w:ind w:left="210" w:leftChars="100"/>
        <w:jc w:val="left"/>
        <w:rPr>
          <w:rFonts w:ascii="宋体" w:hAnsi="宋体"/>
          <w:szCs w:val="21"/>
        </w:rPr>
      </w:pPr>
      <w:r>
        <w:rPr>
          <w:rFonts w:hint="eastAsia" w:ascii="宋体" w:hAnsi="宋体"/>
          <w:szCs w:val="21"/>
        </w:rPr>
        <w:t>极壳耐压：5 U e或3 U e + 2 0 0 0 V a c选取最高</w:t>
      </w:r>
    </w:p>
    <w:p>
      <w:pPr>
        <w:widowControl/>
        <w:spacing w:line="360" w:lineRule="auto"/>
        <w:ind w:left="210" w:leftChars="100"/>
        <w:jc w:val="left"/>
        <w:rPr>
          <w:rFonts w:ascii="宋体" w:hAnsi="宋体"/>
          <w:szCs w:val="21"/>
        </w:rPr>
      </w:pPr>
      <w:r>
        <w:rPr>
          <w:rFonts w:hint="eastAsia" w:ascii="宋体" w:hAnsi="宋体"/>
          <w:szCs w:val="21"/>
        </w:rPr>
        <w:t>放电性能：3 m i n内放电至5 0 V及以下</w:t>
      </w:r>
    </w:p>
    <w:p>
      <w:pPr>
        <w:widowControl/>
        <w:spacing w:line="360" w:lineRule="auto"/>
        <w:ind w:left="210" w:leftChars="100"/>
        <w:jc w:val="left"/>
        <w:rPr>
          <w:rFonts w:ascii="宋体" w:hAnsi="宋体"/>
          <w:szCs w:val="21"/>
        </w:rPr>
      </w:pPr>
      <w:r>
        <w:rPr>
          <w:rFonts w:hint="eastAsia" w:ascii="宋体" w:hAnsi="宋体"/>
          <w:szCs w:val="21"/>
        </w:rPr>
        <w:t>防爆性能：故障后，1 0 0 %自动切断保护</w:t>
      </w:r>
    </w:p>
    <w:p>
      <w:pPr>
        <w:widowControl/>
        <w:spacing w:line="360" w:lineRule="auto"/>
        <w:ind w:left="1890" w:leftChars="100" w:hanging="1680" w:hangingChars="800"/>
        <w:jc w:val="left"/>
        <w:rPr>
          <w:rFonts w:ascii="宋体" w:hAnsi="宋体"/>
          <w:szCs w:val="21"/>
        </w:rPr>
      </w:pPr>
      <w:r>
        <w:rPr>
          <w:rFonts w:hint="eastAsia" w:ascii="宋体" w:hAnsi="宋体"/>
          <w:szCs w:val="21"/>
        </w:rPr>
        <w:t>最高允许过电压：1 . 1 5 U e 每2 4 h内3 0 m i n (说明：系统电压调整和波动)</w:t>
      </w:r>
    </w:p>
    <w:p>
      <w:pPr>
        <w:widowControl/>
        <w:spacing w:line="360" w:lineRule="auto"/>
        <w:ind w:left="210" w:leftChars="100"/>
        <w:jc w:val="left"/>
        <w:rPr>
          <w:rFonts w:ascii="宋体" w:hAnsi="宋体"/>
          <w:szCs w:val="21"/>
        </w:rPr>
      </w:pPr>
      <w:r>
        <w:rPr>
          <w:rFonts w:hint="eastAsia" w:ascii="宋体" w:hAnsi="宋体"/>
          <w:szCs w:val="21"/>
        </w:rPr>
        <w:t xml:space="preserve">额定电容CN（μF）：额定容量* 1 0 /（3 1 4 *额定电压） </w:t>
      </w:r>
    </w:p>
    <w:p>
      <w:pPr>
        <w:widowControl/>
        <w:spacing w:line="360" w:lineRule="auto"/>
        <w:ind w:left="210" w:leftChars="100"/>
        <w:jc w:val="left"/>
        <w:rPr>
          <w:rFonts w:ascii="宋体" w:hAnsi="宋体"/>
          <w:szCs w:val="21"/>
        </w:rPr>
      </w:pPr>
      <w:r>
        <w:rPr>
          <w:rFonts w:hint="eastAsia" w:ascii="宋体" w:hAnsi="宋体"/>
          <w:szCs w:val="21"/>
        </w:rPr>
        <w:t xml:space="preserve">额定电流IN（A）：额定容量/（1 . 7 3 2 *额定电压） </w:t>
      </w:r>
    </w:p>
    <w:p>
      <w:pPr>
        <w:rPr>
          <w:rFonts w:ascii="宋体" w:hAnsi="宋体"/>
          <w:szCs w:val="21"/>
        </w:rPr>
      </w:pPr>
      <w:r>
        <w:rPr>
          <w:rFonts w:hint="eastAsia" w:ascii="宋体" w:hAnsi="宋体"/>
          <w:szCs w:val="21"/>
        </w:rPr>
        <w:t>（3）电抗器技术参数：</w:t>
      </w:r>
    </w:p>
    <w:p>
      <w:pPr>
        <w:pStyle w:val="172"/>
        <w:spacing w:line="360" w:lineRule="auto"/>
        <w:ind w:left="210" w:leftChars="100" w:firstLine="0" w:firstLineChars="0"/>
        <w:rPr>
          <w:rFonts w:ascii="宋体" w:hAnsi="宋体"/>
          <w:szCs w:val="21"/>
        </w:rPr>
      </w:pPr>
      <w:r>
        <w:rPr>
          <w:rFonts w:hint="eastAsia" w:ascii="宋体" w:hAnsi="宋体"/>
          <w:szCs w:val="21"/>
        </w:rPr>
        <w:t>产品设计：产品设计采用专业的设计软件，误差小，精度高</w:t>
      </w:r>
    </w:p>
    <w:p>
      <w:pPr>
        <w:pStyle w:val="172"/>
        <w:spacing w:line="360" w:lineRule="auto"/>
        <w:ind w:left="210" w:leftChars="100" w:firstLine="0" w:firstLineChars="0"/>
        <w:rPr>
          <w:rFonts w:ascii="宋体" w:hAnsi="宋体"/>
          <w:szCs w:val="21"/>
        </w:rPr>
      </w:pPr>
      <w:r>
        <w:rPr>
          <w:rFonts w:hint="eastAsia" w:ascii="宋体" w:hAnsi="宋体"/>
          <w:szCs w:val="21"/>
        </w:rPr>
        <w:t>出线端子:线圈出线端子和导线连接部位采用冷压+焊接双工艺，保证产品的长期稳定运行</w:t>
      </w:r>
    </w:p>
    <w:p>
      <w:pPr>
        <w:pStyle w:val="172"/>
        <w:spacing w:line="360" w:lineRule="auto"/>
        <w:ind w:left="210" w:leftChars="100" w:firstLine="0" w:firstLineChars="0"/>
        <w:rPr>
          <w:rFonts w:ascii="宋体" w:hAnsi="宋体"/>
          <w:szCs w:val="21"/>
        </w:rPr>
      </w:pPr>
      <w:r>
        <w:rPr>
          <w:rFonts w:hint="eastAsia" w:ascii="宋体" w:hAnsi="宋体"/>
          <w:szCs w:val="21"/>
        </w:rPr>
        <w:t>铁芯材料:百分百采用冷轧硅钢片新料（武钢）</w:t>
      </w:r>
    </w:p>
    <w:p>
      <w:pPr>
        <w:pStyle w:val="172"/>
        <w:spacing w:line="360" w:lineRule="auto"/>
        <w:ind w:left="210" w:leftChars="100" w:firstLine="0" w:firstLineChars="0"/>
        <w:rPr>
          <w:rFonts w:ascii="宋体" w:hAnsi="宋体"/>
          <w:szCs w:val="21"/>
        </w:rPr>
      </w:pPr>
      <w:r>
        <w:rPr>
          <w:rFonts w:hint="eastAsia" w:ascii="宋体" w:hAnsi="宋体"/>
          <w:szCs w:val="21"/>
        </w:rPr>
        <w:t>绕组材质：铜导体</w:t>
      </w:r>
    </w:p>
    <w:p>
      <w:pPr>
        <w:pStyle w:val="172"/>
        <w:spacing w:line="360" w:lineRule="auto"/>
        <w:ind w:left="1050" w:leftChars="100" w:hanging="840" w:hangingChars="400"/>
        <w:rPr>
          <w:rFonts w:ascii="宋体" w:hAnsi="宋体"/>
          <w:szCs w:val="21"/>
        </w:rPr>
      </w:pPr>
      <w:r>
        <w:rPr>
          <w:rFonts w:hint="eastAsia" w:ascii="宋体" w:hAnsi="宋体"/>
          <w:szCs w:val="21"/>
        </w:rPr>
        <w:t>线性度:在1.8倍额定电流下，电感偏差不超过±3%，保证产品在任何系统里稳定运行，不会导致磁饱和</w:t>
      </w:r>
    </w:p>
    <w:p>
      <w:pPr>
        <w:pStyle w:val="172"/>
        <w:spacing w:line="360" w:lineRule="auto"/>
        <w:ind w:left="1260" w:leftChars="100" w:hanging="1050" w:hangingChars="500"/>
        <w:rPr>
          <w:rFonts w:ascii="宋体" w:hAnsi="宋体"/>
          <w:szCs w:val="21"/>
        </w:rPr>
      </w:pPr>
      <w:r>
        <w:rPr>
          <w:rFonts w:hint="eastAsia" w:ascii="宋体" w:hAnsi="宋体"/>
          <w:szCs w:val="21"/>
        </w:rPr>
        <w:t>耐温材料:电抗器导线采用H级（180度）材料制造，确保电抗器有良好的耐温能力</w:t>
      </w:r>
    </w:p>
    <w:p>
      <w:pPr>
        <w:widowControl/>
        <w:spacing w:line="360" w:lineRule="auto"/>
        <w:ind w:left="210" w:leftChars="100"/>
        <w:jc w:val="left"/>
        <w:rPr>
          <w:rFonts w:ascii="宋体" w:hAnsi="宋体"/>
          <w:szCs w:val="21"/>
        </w:rPr>
      </w:pPr>
      <w:r>
        <w:rPr>
          <w:rFonts w:hint="eastAsia" w:ascii="宋体" w:hAnsi="宋体"/>
          <w:szCs w:val="21"/>
        </w:rPr>
        <w:t>电抗器噪音：≤50分贝</w:t>
      </w:r>
    </w:p>
    <w:p>
      <w:pPr>
        <w:widowControl/>
        <w:spacing w:line="360" w:lineRule="auto"/>
        <w:ind w:left="210" w:leftChars="100"/>
        <w:jc w:val="left"/>
        <w:rPr>
          <w:rFonts w:ascii="宋体" w:hAnsi="宋体"/>
          <w:szCs w:val="21"/>
        </w:rPr>
      </w:pPr>
      <w:r>
        <w:rPr>
          <w:rFonts w:hint="eastAsia" w:ascii="宋体" w:hAnsi="宋体"/>
          <w:szCs w:val="21"/>
        </w:rPr>
        <w:t>电抗器设计温升：＜45K ，保证了产品的长期可靠运行</w:t>
      </w:r>
    </w:p>
    <w:p>
      <w:pPr>
        <w:spacing w:line="360" w:lineRule="auto"/>
        <w:ind w:firstLine="420" w:firstLineChars="200"/>
        <w:rPr>
          <w:rFonts w:ascii="宋体" w:hAnsi="宋体"/>
          <w:szCs w:val="21"/>
        </w:rPr>
      </w:pPr>
      <w:r>
        <w:rPr>
          <w:rFonts w:hint="eastAsia" w:ascii="宋体" w:hAnsi="宋体"/>
          <w:szCs w:val="21"/>
        </w:rPr>
        <w:t>无功补偿装置</w:t>
      </w:r>
      <w:r>
        <w:rPr>
          <w:rFonts w:hint="eastAsia" w:ascii="宋体" w:hAnsi="宋体" w:cs="宋体"/>
          <w:szCs w:val="21"/>
        </w:rPr>
        <w:t>参考选用河南瑞通电气科技有限公司、四川省科学城久信科技有限公司、中航新科电气(天津)有限公司同</w:t>
      </w:r>
      <w:r>
        <w:rPr>
          <w:rFonts w:hint="eastAsia" w:ascii="宋体" w:hAnsi="宋体"/>
          <w:szCs w:val="21"/>
        </w:rPr>
        <w:t>等及以上品牌产品。</w:t>
      </w:r>
    </w:p>
    <w:p>
      <w:pPr>
        <w:spacing w:line="360" w:lineRule="auto"/>
        <w:rPr>
          <w:rFonts w:ascii="宋体" w:hAnsi="宋体" w:cs="宋体"/>
          <w:szCs w:val="21"/>
        </w:rPr>
      </w:pPr>
      <w:r>
        <w:rPr>
          <w:rFonts w:hint="eastAsia" w:ascii="宋体" w:hAnsi="宋体" w:cs="宋体"/>
          <w:szCs w:val="21"/>
        </w:rPr>
        <w:t>5、多功能电力仪表</w:t>
      </w:r>
    </w:p>
    <w:p>
      <w:pPr>
        <w:tabs>
          <w:tab w:val="left" w:pos="420"/>
        </w:tabs>
        <w:spacing w:line="360" w:lineRule="auto"/>
        <w:ind w:firstLine="420" w:firstLineChars="200"/>
        <w:rPr>
          <w:rFonts w:ascii="宋体" w:hAnsi="宋体" w:cs="宋体"/>
          <w:szCs w:val="21"/>
        </w:rPr>
      </w:pPr>
      <w:r>
        <w:rPr>
          <w:rFonts w:hint="eastAsia" w:ascii="宋体" w:hAnsi="宋体" w:cs="宋体"/>
          <w:szCs w:val="21"/>
        </w:rPr>
        <w:t>常规测量功能如下：</w:t>
      </w:r>
    </w:p>
    <w:p>
      <w:pPr>
        <w:tabs>
          <w:tab w:val="left" w:pos="420"/>
        </w:tabs>
        <w:spacing w:line="360" w:lineRule="auto"/>
        <w:ind w:firstLine="420" w:firstLineChars="200"/>
        <w:rPr>
          <w:rFonts w:ascii="宋体" w:hAnsi="宋体" w:cs="宋体"/>
          <w:szCs w:val="21"/>
        </w:rPr>
      </w:pPr>
      <w:r>
        <w:rPr>
          <w:rFonts w:hint="eastAsia" w:ascii="宋体" w:hAnsi="宋体" w:cs="宋体"/>
          <w:szCs w:val="21"/>
        </w:rPr>
        <w:t>（1）可直接从电流、电压互感器接入信号；</w:t>
      </w:r>
    </w:p>
    <w:p>
      <w:pPr>
        <w:tabs>
          <w:tab w:val="left" w:pos="420"/>
        </w:tabs>
        <w:spacing w:line="360" w:lineRule="auto"/>
        <w:ind w:firstLine="420" w:firstLineChars="200"/>
        <w:rPr>
          <w:rFonts w:ascii="宋体" w:hAnsi="宋体" w:cs="宋体"/>
          <w:szCs w:val="21"/>
        </w:rPr>
      </w:pPr>
      <w:r>
        <w:rPr>
          <w:rFonts w:hint="eastAsia" w:ascii="宋体" w:hAnsi="宋体" w:cs="宋体"/>
          <w:szCs w:val="21"/>
        </w:rPr>
        <w:t>（2）三相全电量测量，四象限电能计量；</w:t>
      </w:r>
    </w:p>
    <w:p>
      <w:pPr>
        <w:tabs>
          <w:tab w:val="left" w:pos="420"/>
        </w:tabs>
        <w:spacing w:line="360" w:lineRule="auto"/>
        <w:ind w:firstLine="420" w:firstLineChars="200"/>
        <w:rPr>
          <w:rFonts w:ascii="宋体" w:hAnsi="宋体" w:cs="宋体"/>
          <w:szCs w:val="21"/>
        </w:rPr>
      </w:pPr>
      <w:r>
        <w:rPr>
          <w:rFonts w:hint="eastAsia" w:ascii="宋体" w:hAnsi="宋体" w:cs="宋体"/>
          <w:szCs w:val="21"/>
        </w:rPr>
        <w:t>（3）可任意设定PT/CT变比；</w:t>
      </w:r>
    </w:p>
    <w:p>
      <w:pPr>
        <w:tabs>
          <w:tab w:val="left" w:pos="420"/>
        </w:tabs>
        <w:spacing w:line="360" w:lineRule="auto"/>
        <w:ind w:firstLine="420" w:firstLineChars="200"/>
        <w:rPr>
          <w:rFonts w:ascii="宋体" w:hAnsi="宋体" w:cs="宋体"/>
          <w:szCs w:val="21"/>
        </w:rPr>
      </w:pPr>
      <w:r>
        <w:rPr>
          <w:rFonts w:hint="eastAsia" w:ascii="宋体" w:hAnsi="宋体" w:cs="宋体"/>
          <w:szCs w:val="21"/>
        </w:rPr>
        <w:t>（4）分时电能计量功能；</w:t>
      </w:r>
    </w:p>
    <w:p>
      <w:pPr>
        <w:tabs>
          <w:tab w:val="left" w:pos="420"/>
        </w:tabs>
        <w:spacing w:line="360" w:lineRule="auto"/>
        <w:ind w:firstLine="420" w:firstLineChars="200"/>
        <w:rPr>
          <w:rFonts w:ascii="宋体" w:hAnsi="宋体" w:cs="宋体"/>
          <w:szCs w:val="21"/>
        </w:rPr>
      </w:pPr>
      <w:r>
        <w:rPr>
          <w:rFonts w:hint="eastAsia" w:ascii="宋体" w:hAnsi="宋体" w:cs="宋体"/>
          <w:szCs w:val="21"/>
        </w:rPr>
        <w:t>A.通信接口</w:t>
      </w:r>
    </w:p>
    <w:p>
      <w:pPr>
        <w:tabs>
          <w:tab w:val="left" w:pos="420"/>
        </w:tabs>
        <w:spacing w:line="360" w:lineRule="auto"/>
        <w:ind w:firstLine="420" w:firstLineChars="200"/>
        <w:rPr>
          <w:rFonts w:ascii="宋体" w:hAnsi="宋体" w:cs="宋体"/>
          <w:szCs w:val="21"/>
        </w:rPr>
      </w:pPr>
      <w:r>
        <w:rPr>
          <w:rFonts w:hint="eastAsia" w:ascii="宋体" w:hAnsi="宋体" w:cs="宋体"/>
          <w:szCs w:val="21"/>
        </w:rPr>
        <w:t>（1）1路RS485，支持MODBUS-RTU规约；</w:t>
      </w:r>
    </w:p>
    <w:p>
      <w:pPr>
        <w:tabs>
          <w:tab w:val="left" w:pos="420"/>
        </w:tabs>
        <w:spacing w:line="360" w:lineRule="auto"/>
        <w:ind w:firstLine="420" w:firstLineChars="200"/>
        <w:rPr>
          <w:rFonts w:ascii="宋体" w:hAnsi="宋体" w:cs="宋体"/>
          <w:szCs w:val="21"/>
        </w:rPr>
      </w:pPr>
      <w:r>
        <w:rPr>
          <w:rFonts w:hint="eastAsia" w:ascii="宋体" w:hAnsi="宋体" w:cs="宋体"/>
          <w:szCs w:val="21"/>
        </w:rPr>
        <w:t>（2）可与业界绝大多数PLC相连（Modicon, GE, Simens…）；</w:t>
      </w:r>
    </w:p>
    <w:p>
      <w:pPr>
        <w:tabs>
          <w:tab w:val="left" w:pos="420"/>
        </w:tabs>
        <w:spacing w:line="360" w:lineRule="auto"/>
        <w:ind w:firstLine="420" w:firstLineChars="200"/>
        <w:rPr>
          <w:rFonts w:ascii="宋体" w:hAnsi="宋体" w:cs="宋体"/>
          <w:szCs w:val="21"/>
        </w:rPr>
      </w:pPr>
      <w:r>
        <w:rPr>
          <w:rFonts w:hint="eastAsia" w:ascii="宋体" w:hAnsi="宋体" w:cs="宋体"/>
          <w:szCs w:val="21"/>
        </w:rPr>
        <w:t>（3）可与业界多种软件通讯（Intouch, Fix, Citec，组态王等）；</w:t>
      </w:r>
    </w:p>
    <w:p>
      <w:pPr>
        <w:tabs>
          <w:tab w:val="left" w:pos="420"/>
        </w:tabs>
        <w:spacing w:line="360" w:lineRule="auto"/>
        <w:ind w:firstLine="420" w:firstLineChars="200"/>
        <w:rPr>
          <w:rFonts w:ascii="宋体" w:hAnsi="宋体" w:cs="宋体"/>
          <w:szCs w:val="21"/>
        </w:rPr>
      </w:pPr>
      <w:r>
        <w:rPr>
          <w:rFonts w:hint="eastAsia" w:ascii="宋体" w:hAnsi="宋体" w:cs="宋体"/>
          <w:szCs w:val="21"/>
        </w:rPr>
        <w:t>B.输入输出端口</w:t>
      </w:r>
    </w:p>
    <w:p>
      <w:pPr>
        <w:tabs>
          <w:tab w:val="left" w:pos="420"/>
        </w:tabs>
        <w:spacing w:line="360" w:lineRule="auto"/>
        <w:ind w:firstLine="420" w:firstLineChars="200"/>
        <w:rPr>
          <w:rFonts w:ascii="宋体" w:hAnsi="宋体" w:cs="宋体"/>
          <w:szCs w:val="21"/>
        </w:rPr>
      </w:pPr>
      <w:r>
        <w:rPr>
          <w:rFonts w:hint="eastAsia" w:ascii="宋体" w:hAnsi="宋体" w:cs="宋体"/>
          <w:szCs w:val="21"/>
        </w:rPr>
        <w:t>丰富的端口，最多4路DI，2路DO。</w:t>
      </w:r>
    </w:p>
    <w:p>
      <w:pPr>
        <w:tabs>
          <w:tab w:val="left" w:pos="420"/>
        </w:tabs>
        <w:spacing w:line="360" w:lineRule="auto"/>
        <w:ind w:firstLine="420" w:firstLineChars="200"/>
        <w:rPr>
          <w:rFonts w:ascii="宋体" w:hAnsi="宋体" w:cs="宋体"/>
          <w:szCs w:val="21"/>
        </w:rPr>
      </w:pPr>
      <w:r>
        <w:rPr>
          <w:rFonts w:hint="eastAsia" w:ascii="宋体" w:hAnsi="宋体" w:cs="宋体"/>
          <w:szCs w:val="21"/>
        </w:rPr>
        <w:t>C.高级电能质量分析</w:t>
      </w:r>
    </w:p>
    <w:p>
      <w:pPr>
        <w:tabs>
          <w:tab w:val="left" w:pos="420"/>
        </w:tabs>
        <w:spacing w:line="360" w:lineRule="auto"/>
        <w:ind w:firstLine="420" w:firstLineChars="200"/>
        <w:rPr>
          <w:rFonts w:ascii="宋体" w:hAnsi="宋体" w:cs="宋体"/>
          <w:szCs w:val="21"/>
        </w:rPr>
      </w:pPr>
      <w:r>
        <w:rPr>
          <w:rFonts w:hint="eastAsia" w:ascii="宋体" w:hAnsi="宋体" w:cs="宋体"/>
          <w:szCs w:val="21"/>
        </w:rPr>
        <w:t>l 谐波分析（1-31次谐波）</w:t>
      </w:r>
    </w:p>
    <w:p>
      <w:pPr>
        <w:tabs>
          <w:tab w:val="left" w:pos="420"/>
        </w:tabs>
        <w:spacing w:line="360" w:lineRule="auto"/>
        <w:ind w:firstLine="420" w:firstLineChars="200"/>
        <w:rPr>
          <w:rFonts w:ascii="宋体" w:hAnsi="宋体" w:cs="宋体"/>
          <w:szCs w:val="21"/>
        </w:rPr>
      </w:pPr>
      <w:r>
        <w:rPr>
          <w:rFonts w:hint="eastAsia" w:ascii="宋体" w:hAnsi="宋体" w:cs="宋体"/>
          <w:szCs w:val="21"/>
        </w:rPr>
        <w:t>l 极值统计</w:t>
      </w:r>
    </w:p>
    <w:p>
      <w:pPr>
        <w:tabs>
          <w:tab w:val="left" w:pos="420"/>
        </w:tabs>
        <w:spacing w:line="360" w:lineRule="auto"/>
        <w:ind w:firstLine="420" w:firstLineChars="200"/>
        <w:rPr>
          <w:rFonts w:ascii="宋体" w:hAnsi="宋体" w:cs="宋体"/>
          <w:szCs w:val="21"/>
        </w:rPr>
      </w:pPr>
      <w:r>
        <w:rPr>
          <w:rFonts w:hint="eastAsia" w:ascii="宋体" w:hAnsi="宋体" w:cs="宋体"/>
          <w:szCs w:val="21"/>
        </w:rPr>
        <w:t>l SOE事件记录</w:t>
      </w:r>
    </w:p>
    <w:p>
      <w:pPr>
        <w:tabs>
          <w:tab w:val="left" w:pos="420"/>
        </w:tabs>
        <w:spacing w:line="360" w:lineRule="auto"/>
        <w:ind w:firstLine="420" w:firstLineChars="200"/>
        <w:rPr>
          <w:rFonts w:ascii="宋体" w:hAnsi="宋体" w:cs="宋体"/>
          <w:szCs w:val="21"/>
        </w:rPr>
      </w:pPr>
      <w:r>
        <w:rPr>
          <w:rFonts w:hint="eastAsia" w:ascii="宋体" w:hAnsi="宋体" w:cs="宋体"/>
          <w:szCs w:val="21"/>
        </w:rPr>
        <w:t>l 零序分量测量及三相电压不平衡分析</w:t>
      </w:r>
    </w:p>
    <w:p>
      <w:pPr>
        <w:tabs>
          <w:tab w:val="left" w:pos="420"/>
        </w:tabs>
        <w:spacing w:line="360" w:lineRule="auto"/>
        <w:ind w:firstLine="420" w:firstLineChars="200"/>
        <w:rPr>
          <w:rFonts w:ascii="宋体" w:hAnsi="宋体" w:cs="宋体"/>
          <w:szCs w:val="21"/>
        </w:rPr>
      </w:pPr>
      <w:r>
        <w:rPr>
          <w:rFonts w:hint="eastAsia" w:ascii="宋体" w:hAnsi="宋体" w:cs="宋体"/>
          <w:szCs w:val="21"/>
        </w:rPr>
        <w:t>2） 出线柜仪表技术要求</w:t>
      </w:r>
    </w:p>
    <w:p>
      <w:pPr>
        <w:tabs>
          <w:tab w:val="left" w:pos="420"/>
        </w:tabs>
        <w:spacing w:line="360" w:lineRule="auto"/>
        <w:ind w:firstLine="420" w:firstLineChars="200"/>
        <w:rPr>
          <w:rFonts w:ascii="宋体" w:hAnsi="宋体" w:cs="宋体"/>
          <w:szCs w:val="21"/>
        </w:rPr>
      </w:pPr>
      <w:r>
        <w:rPr>
          <w:rFonts w:hint="eastAsia" w:ascii="宋体" w:hAnsi="宋体" w:cs="宋体"/>
          <w:szCs w:val="21"/>
        </w:rPr>
        <w:t>A.基本测控功能</w:t>
      </w:r>
    </w:p>
    <w:p>
      <w:pPr>
        <w:tabs>
          <w:tab w:val="left" w:pos="420"/>
        </w:tabs>
        <w:spacing w:line="360" w:lineRule="auto"/>
        <w:ind w:firstLine="420" w:firstLineChars="200"/>
        <w:rPr>
          <w:rFonts w:ascii="宋体" w:hAnsi="宋体" w:cs="宋体"/>
          <w:szCs w:val="21"/>
        </w:rPr>
      </w:pPr>
      <w:r>
        <w:rPr>
          <w:rFonts w:hint="eastAsia" w:ascii="宋体" w:hAnsi="宋体" w:cs="宋体"/>
          <w:szCs w:val="21"/>
        </w:rPr>
        <w:t>具有三相电流，三相电压，功率（三相有功、三相无功、三相视在），功率因数，频率，电能（四象限分量、累积），2DO/4DI，1路电能脉冲，1路RS485,MODBUS-RTU通信协议。</w:t>
      </w:r>
    </w:p>
    <w:p>
      <w:pPr>
        <w:tabs>
          <w:tab w:val="left" w:pos="420"/>
        </w:tabs>
        <w:spacing w:line="360" w:lineRule="auto"/>
        <w:ind w:firstLine="420" w:firstLineChars="200"/>
        <w:rPr>
          <w:rFonts w:ascii="宋体" w:hAnsi="宋体" w:cs="宋体"/>
          <w:szCs w:val="21"/>
        </w:rPr>
      </w:pPr>
      <w:r>
        <w:rPr>
          <w:rFonts w:hint="eastAsia" w:ascii="宋体" w:hAnsi="宋体" w:cs="宋体"/>
          <w:szCs w:val="21"/>
        </w:rPr>
        <w:t xml:space="preserve">B.技术规格参数 </w:t>
      </w:r>
    </w:p>
    <w:p>
      <w:pPr>
        <w:tabs>
          <w:tab w:val="left" w:pos="420"/>
        </w:tabs>
        <w:spacing w:line="360" w:lineRule="auto"/>
        <w:ind w:firstLine="420" w:firstLineChars="200"/>
        <w:rPr>
          <w:rFonts w:ascii="宋体" w:hAnsi="宋体" w:cs="宋体"/>
          <w:szCs w:val="21"/>
        </w:rPr>
      </w:pPr>
      <w:r>
        <w:rPr>
          <w:rFonts w:hint="eastAsia" w:ascii="宋体" w:hAnsi="宋体" w:cs="宋体"/>
          <w:szCs w:val="21"/>
        </w:rPr>
        <w:t>输入信号</w:t>
      </w:r>
    </w:p>
    <w:p>
      <w:pPr>
        <w:tabs>
          <w:tab w:val="left" w:pos="420"/>
        </w:tabs>
        <w:spacing w:line="360" w:lineRule="auto"/>
        <w:ind w:firstLine="420" w:firstLineChars="200"/>
        <w:rPr>
          <w:rFonts w:ascii="宋体" w:hAnsi="宋体" w:cs="宋体"/>
          <w:szCs w:val="21"/>
        </w:rPr>
      </w:pPr>
      <w:r>
        <w:rPr>
          <w:rFonts w:hint="eastAsia" w:ascii="宋体" w:hAnsi="宋体" w:cs="宋体"/>
          <w:szCs w:val="21"/>
        </w:rPr>
        <w:t>（1）输入电压</w:t>
      </w:r>
    </w:p>
    <w:p>
      <w:pPr>
        <w:tabs>
          <w:tab w:val="left" w:pos="420"/>
        </w:tabs>
        <w:spacing w:line="360" w:lineRule="auto"/>
        <w:ind w:firstLine="420" w:firstLineChars="200"/>
        <w:rPr>
          <w:rFonts w:ascii="宋体" w:hAnsi="宋体" w:cs="宋体"/>
          <w:szCs w:val="21"/>
        </w:rPr>
      </w:pPr>
      <w:r>
        <w:rPr>
          <w:rFonts w:hint="eastAsia" w:ascii="宋体" w:hAnsi="宋体" w:cs="宋体"/>
          <w:szCs w:val="21"/>
        </w:rPr>
        <w:t>额定值：100V或400VAC，允许25%的超限；</w:t>
      </w:r>
    </w:p>
    <w:p>
      <w:pPr>
        <w:tabs>
          <w:tab w:val="left" w:pos="420"/>
        </w:tabs>
        <w:spacing w:line="360" w:lineRule="auto"/>
        <w:ind w:firstLine="420" w:firstLineChars="200"/>
        <w:rPr>
          <w:rFonts w:ascii="宋体" w:hAnsi="宋体" w:cs="宋体"/>
          <w:szCs w:val="21"/>
        </w:rPr>
      </w:pPr>
      <w:r>
        <w:rPr>
          <w:rFonts w:hint="eastAsia" w:ascii="宋体" w:hAnsi="宋体" w:cs="宋体"/>
          <w:szCs w:val="21"/>
        </w:rPr>
        <w:t xml:space="preserve">过负荷：2倍额定值（连续）；2500VAC/1秒（不循环）； </w:t>
      </w:r>
    </w:p>
    <w:p>
      <w:pPr>
        <w:tabs>
          <w:tab w:val="left" w:pos="420"/>
        </w:tabs>
        <w:spacing w:line="360" w:lineRule="auto"/>
        <w:ind w:firstLine="420" w:firstLineChars="200"/>
        <w:rPr>
          <w:rFonts w:ascii="宋体" w:hAnsi="宋体" w:cs="宋体"/>
          <w:szCs w:val="21"/>
        </w:rPr>
      </w:pPr>
      <w:r>
        <w:rPr>
          <w:rFonts w:hint="eastAsia" w:ascii="宋体" w:hAnsi="宋体" w:cs="宋体"/>
          <w:szCs w:val="21"/>
        </w:rPr>
        <w:t>测量形式：True-RMS；</w:t>
      </w:r>
    </w:p>
    <w:p>
      <w:pPr>
        <w:tabs>
          <w:tab w:val="left" w:pos="420"/>
        </w:tabs>
        <w:spacing w:line="360" w:lineRule="auto"/>
        <w:ind w:firstLine="420" w:firstLineChars="200"/>
        <w:rPr>
          <w:rFonts w:ascii="宋体" w:hAnsi="宋体" w:cs="宋体"/>
          <w:szCs w:val="21"/>
        </w:rPr>
      </w:pPr>
      <w:r>
        <w:rPr>
          <w:rFonts w:hint="eastAsia" w:ascii="宋体" w:hAnsi="宋体" w:cs="宋体"/>
          <w:szCs w:val="21"/>
        </w:rPr>
        <w:t>负荷：小于0.2VA</w:t>
      </w:r>
    </w:p>
    <w:p>
      <w:pPr>
        <w:tabs>
          <w:tab w:val="left" w:pos="420"/>
        </w:tabs>
        <w:spacing w:line="360" w:lineRule="auto"/>
        <w:ind w:firstLine="420" w:firstLineChars="200"/>
        <w:rPr>
          <w:rFonts w:ascii="宋体" w:hAnsi="宋体" w:cs="宋体"/>
          <w:szCs w:val="21"/>
        </w:rPr>
      </w:pPr>
      <w:r>
        <w:rPr>
          <w:rFonts w:hint="eastAsia" w:ascii="宋体" w:hAnsi="宋体" w:cs="宋体"/>
          <w:szCs w:val="21"/>
        </w:rPr>
        <w:t>（2）输入电流</w:t>
      </w:r>
    </w:p>
    <w:p>
      <w:pPr>
        <w:tabs>
          <w:tab w:val="left" w:pos="420"/>
        </w:tabs>
        <w:spacing w:line="360" w:lineRule="auto"/>
        <w:ind w:firstLine="420" w:firstLineChars="200"/>
        <w:rPr>
          <w:rFonts w:ascii="宋体" w:hAnsi="宋体" w:cs="宋体"/>
          <w:szCs w:val="21"/>
        </w:rPr>
      </w:pPr>
      <w:r>
        <w:rPr>
          <w:rFonts w:hint="eastAsia" w:ascii="宋体" w:hAnsi="宋体" w:cs="宋体"/>
          <w:szCs w:val="21"/>
        </w:rPr>
        <w:t>额定值：5A，允许20%的超限；</w:t>
      </w:r>
    </w:p>
    <w:p>
      <w:pPr>
        <w:tabs>
          <w:tab w:val="left" w:pos="420"/>
        </w:tabs>
        <w:spacing w:line="360" w:lineRule="auto"/>
        <w:ind w:firstLine="420" w:firstLineChars="200"/>
        <w:rPr>
          <w:rFonts w:ascii="宋体" w:hAnsi="宋体" w:cs="宋体"/>
          <w:szCs w:val="21"/>
        </w:rPr>
      </w:pPr>
      <w:r>
        <w:rPr>
          <w:rFonts w:hint="eastAsia" w:ascii="宋体" w:hAnsi="宋体" w:cs="宋体"/>
          <w:szCs w:val="21"/>
        </w:rPr>
        <w:t>过负载：2倍额定值；100A/1秒（不循环）；</w:t>
      </w:r>
    </w:p>
    <w:p>
      <w:pPr>
        <w:tabs>
          <w:tab w:val="left" w:pos="420"/>
        </w:tabs>
        <w:spacing w:line="360" w:lineRule="auto"/>
        <w:ind w:firstLine="420" w:firstLineChars="200"/>
        <w:rPr>
          <w:rFonts w:ascii="宋体" w:hAnsi="宋体" w:cs="宋体"/>
          <w:szCs w:val="21"/>
        </w:rPr>
      </w:pPr>
      <w:r>
        <w:rPr>
          <w:rFonts w:hint="eastAsia" w:ascii="宋体" w:hAnsi="宋体" w:cs="宋体"/>
          <w:szCs w:val="21"/>
        </w:rPr>
        <w:t>测量形式：True-RMS；</w:t>
      </w:r>
    </w:p>
    <w:p>
      <w:pPr>
        <w:tabs>
          <w:tab w:val="left" w:pos="420"/>
        </w:tabs>
        <w:spacing w:line="360" w:lineRule="auto"/>
        <w:ind w:firstLine="420" w:firstLineChars="200"/>
        <w:rPr>
          <w:rFonts w:ascii="宋体" w:hAnsi="宋体" w:cs="宋体"/>
          <w:szCs w:val="21"/>
        </w:rPr>
      </w:pPr>
      <w:r>
        <w:rPr>
          <w:rFonts w:hint="eastAsia" w:ascii="宋体" w:hAnsi="宋体" w:cs="宋体"/>
          <w:szCs w:val="21"/>
        </w:rPr>
        <w:t>负荷：小于0.2VA</w:t>
      </w:r>
    </w:p>
    <w:p>
      <w:pPr>
        <w:tabs>
          <w:tab w:val="left" w:pos="420"/>
        </w:tabs>
        <w:spacing w:line="360" w:lineRule="auto"/>
        <w:ind w:firstLine="420" w:firstLineChars="200"/>
        <w:rPr>
          <w:rFonts w:ascii="宋体" w:hAnsi="宋体" w:cs="宋体"/>
          <w:szCs w:val="21"/>
        </w:rPr>
      </w:pPr>
      <w:r>
        <w:rPr>
          <w:rFonts w:hint="eastAsia" w:ascii="宋体" w:hAnsi="宋体" w:cs="宋体"/>
          <w:szCs w:val="21"/>
        </w:rPr>
        <w:t>（3）输入频率范围</w:t>
      </w:r>
    </w:p>
    <w:p>
      <w:pPr>
        <w:tabs>
          <w:tab w:val="left" w:pos="420"/>
        </w:tabs>
        <w:spacing w:line="360" w:lineRule="auto"/>
        <w:ind w:firstLine="420" w:firstLineChars="200"/>
        <w:rPr>
          <w:rFonts w:ascii="宋体" w:hAnsi="宋体" w:cs="宋体"/>
          <w:szCs w:val="21"/>
        </w:rPr>
      </w:pPr>
      <w:r>
        <w:rPr>
          <w:rFonts w:hint="eastAsia" w:ascii="宋体" w:hAnsi="宋体" w:cs="宋体"/>
          <w:szCs w:val="21"/>
        </w:rPr>
        <w:t>45~65Hz</w:t>
      </w:r>
    </w:p>
    <w:p>
      <w:pPr>
        <w:tabs>
          <w:tab w:val="left" w:pos="420"/>
        </w:tabs>
        <w:spacing w:line="360" w:lineRule="auto"/>
        <w:ind w:firstLine="420" w:firstLineChars="200"/>
        <w:rPr>
          <w:rFonts w:ascii="宋体" w:hAnsi="宋体" w:cs="宋体"/>
          <w:szCs w:val="21"/>
        </w:rPr>
      </w:pPr>
      <w:r>
        <w:rPr>
          <w:rFonts w:hint="eastAsia" w:ascii="宋体" w:hAnsi="宋体" w:cs="宋体"/>
          <w:szCs w:val="21"/>
        </w:rPr>
        <w:t>（4）测量精度</w:t>
      </w:r>
    </w:p>
    <w:p>
      <w:pPr>
        <w:tabs>
          <w:tab w:val="left" w:pos="420"/>
        </w:tabs>
        <w:spacing w:line="360" w:lineRule="auto"/>
        <w:ind w:firstLine="420" w:firstLineChars="200"/>
        <w:rPr>
          <w:rFonts w:ascii="宋体" w:hAnsi="宋体" w:cs="宋体"/>
          <w:szCs w:val="21"/>
        </w:rPr>
      </w:pPr>
      <w:r>
        <w:rPr>
          <w:rFonts w:hint="eastAsia" w:ascii="宋体" w:hAnsi="宋体" w:cs="宋体"/>
          <w:szCs w:val="21"/>
        </w:rPr>
        <w:t>电流和电压：0.2级；</w:t>
      </w:r>
    </w:p>
    <w:p>
      <w:pPr>
        <w:tabs>
          <w:tab w:val="left" w:pos="420"/>
        </w:tabs>
        <w:spacing w:line="360" w:lineRule="auto"/>
        <w:ind w:firstLine="420" w:firstLineChars="200"/>
        <w:rPr>
          <w:rFonts w:ascii="宋体" w:hAnsi="宋体" w:cs="宋体"/>
          <w:szCs w:val="21"/>
        </w:rPr>
      </w:pPr>
      <w:r>
        <w:rPr>
          <w:rFonts w:hint="eastAsia" w:ascii="宋体" w:hAnsi="宋体" w:cs="宋体"/>
          <w:szCs w:val="21"/>
        </w:rPr>
        <w:t>其它参数：0.5级；</w:t>
      </w:r>
    </w:p>
    <w:p>
      <w:pPr>
        <w:tabs>
          <w:tab w:val="left" w:pos="420"/>
        </w:tabs>
        <w:spacing w:line="360" w:lineRule="auto"/>
        <w:ind w:firstLine="420" w:firstLineChars="200"/>
        <w:rPr>
          <w:rFonts w:ascii="宋体" w:hAnsi="宋体" w:cs="宋体"/>
          <w:szCs w:val="21"/>
        </w:rPr>
      </w:pPr>
      <w:r>
        <w:rPr>
          <w:rFonts w:hint="eastAsia" w:ascii="宋体" w:hAnsi="宋体" w:cs="宋体"/>
          <w:szCs w:val="21"/>
        </w:rPr>
        <w:t>频率：0.1Hz；</w:t>
      </w:r>
    </w:p>
    <w:p>
      <w:pPr>
        <w:tabs>
          <w:tab w:val="left" w:pos="420"/>
        </w:tabs>
        <w:spacing w:line="360" w:lineRule="auto"/>
        <w:ind w:firstLine="420" w:firstLineChars="200"/>
        <w:rPr>
          <w:rFonts w:ascii="宋体" w:hAnsi="宋体" w:cs="宋体"/>
          <w:szCs w:val="21"/>
        </w:rPr>
      </w:pPr>
      <w:r>
        <w:rPr>
          <w:rFonts w:hint="eastAsia" w:ascii="宋体" w:hAnsi="宋体" w:cs="宋体"/>
          <w:szCs w:val="21"/>
        </w:rPr>
        <w:t>温度漂移系数：50PPM/℃（0-50℃）</w:t>
      </w:r>
    </w:p>
    <w:p>
      <w:pPr>
        <w:tabs>
          <w:tab w:val="left" w:pos="420"/>
        </w:tabs>
        <w:spacing w:line="360" w:lineRule="auto"/>
        <w:ind w:firstLine="420" w:firstLineChars="200"/>
        <w:rPr>
          <w:rFonts w:ascii="宋体" w:hAnsi="宋体" w:cs="宋体"/>
          <w:szCs w:val="21"/>
        </w:rPr>
      </w:pPr>
      <w:r>
        <w:rPr>
          <w:rFonts w:hint="eastAsia" w:ascii="宋体" w:hAnsi="宋体" w:cs="宋体"/>
          <w:szCs w:val="21"/>
        </w:rPr>
        <w:t>（5）通讯</w:t>
      </w:r>
    </w:p>
    <w:p>
      <w:pPr>
        <w:tabs>
          <w:tab w:val="left" w:pos="420"/>
        </w:tabs>
        <w:spacing w:line="360" w:lineRule="auto"/>
        <w:ind w:firstLine="420" w:firstLineChars="200"/>
        <w:rPr>
          <w:rFonts w:ascii="宋体" w:hAnsi="宋体" w:cs="宋体"/>
          <w:szCs w:val="21"/>
        </w:rPr>
      </w:pPr>
      <w:r>
        <w:rPr>
          <w:rFonts w:hint="eastAsia" w:ascii="宋体" w:hAnsi="宋体" w:cs="宋体"/>
          <w:szCs w:val="21"/>
        </w:rPr>
        <w:t>RS485接口；</w:t>
      </w:r>
    </w:p>
    <w:p>
      <w:pPr>
        <w:tabs>
          <w:tab w:val="left" w:pos="420"/>
        </w:tabs>
        <w:spacing w:line="360" w:lineRule="auto"/>
        <w:ind w:firstLine="420" w:firstLineChars="200"/>
        <w:rPr>
          <w:rFonts w:ascii="宋体" w:hAnsi="宋体" w:cs="宋体"/>
          <w:szCs w:val="21"/>
        </w:rPr>
      </w:pPr>
      <w:r>
        <w:rPr>
          <w:rFonts w:hint="eastAsia" w:ascii="宋体" w:hAnsi="宋体" w:cs="宋体"/>
          <w:szCs w:val="21"/>
        </w:rPr>
        <w:t>波特率：1200bps ~38400bps可设定</w:t>
      </w:r>
    </w:p>
    <w:p>
      <w:pPr>
        <w:tabs>
          <w:tab w:val="left" w:pos="420"/>
        </w:tabs>
        <w:spacing w:line="360" w:lineRule="auto"/>
        <w:ind w:firstLine="420" w:firstLineChars="200"/>
        <w:rPr>
          <w:rFonts w:ascii="宋体" w:hAnsi="宋体" w:cs="宋体"/>
          <w:szCs w:val="21"/>
        </w:rPr>
      </w:pPr>
      <w:r>
        <w:rPr>
          <w:rFonts w:hint="eastAsia" w:ascii="宋体" w:hAnsi="宋体" w:cs="宋体"/>
          <w:szCs w:val="21"/>
        </w:rPr>
        <w:t>MODBUS-RTU 协议</w:t>
      </w:r>
    </w:p>
    <w:p>
      <w:pPr>
        <w:tabs>
          <w:tab w:val="left" w:pos="420"/>
        </w:tabs>
        <w:spacing w:line="360" w:lineRule="auto"/>
        <w:ind w:firstLine="420" w:firstLineChars="200"/>
        <w:rPr>
          <w:rFonts w:ascii="宋体" w:hAnsi="宋体" w:cs="宋体"/>
          <w:szCs w:val="21"/>
        </w:rPr>
      </w:pPr>
      <w:r>
        <w:rPr>
          <w:rFonts w:hint="eastAsia" w:ascii="宋体" w:hAnsi="宋体" w:cs="宋体"/>
          <w:szCs w:val="21"/>
        </w:rPr>
        <w:t>（6）适用环境</w:t>
      </w:r>
    </w:p>
    <w:p>
      <w:pPr>
        <w:tabs>
          <w:tab w:val="left" w:pos="420"/>
        </w:tabs>
        <w:spacing w:line="360" w:lineRule="auto"/>
        <w:ind w:firstLine="420" w:firstLineChars="200"/>
        <w:rPr>
          <w:rFonts w:ascii="宋体" w:hAnsi="宋体" w:cs="宋体"/>
          <w:szCs w:val="21"/>
        </w:rPr>
      </w:pPr>
      <w:r>
        <w:rPr>
          <w:rFonts w:hint="eastAsia" w:ascii="宋体" w:hAnsi="宋体" w:cs="宋体"/>
          <w:szCs w:val="21"/>
        </w:rPr>
        <w:t>工作温度：－20℃--+75℃；</w:t>
      </w:r>
    </w:p>
    <w:p>
      <w:pPr>
        <w:tabs>
          <w:tab w:val="left" w:pos="420"/>
        </w:tabs>
        <w:spacing w:line="360" w:lineRule="auto"/>
        <w:ind w:firstLine="420" w:firstLineChars="200"/>
        <w:rPr>
          <w:rFonts w:ascii="宋体" w:hAnsi="宋体" w:cs="宋体"/>
          <w:szCs w:val="21"/>
        </w:rPr>
      </w:pPr>
      <w:r>
        <w:rPr>
          <w:rFonts w:hint="eastAsia" w:ascii="宋体" w:hAnsi="宋体" w:cs="宋体"/>
          <w:szCs w:val="21"/>
        </w:rPr>
        <w:t>储存温度：－40℃--+85℃；</w:t>
      </w:r>
    </w:p>
    <w:p>
      <w:pPr>
        <w:tabs>
          <w:tab w:val="left" w:pos="420"/>
        </w:tabs>
        <w:spacing w:line="360" w:lineRule="auto"/>
        <w:ind w:firstLine="420" w:firstLineChars="200"/>
        <w:rPr>
          <w:rFonts w:ascii="宋体" w:hAnsi="宋体" w:cs="宋体"/>
          <w:szCs w:val="21"/>
        </w:rPr>
      </w:pPr>
      <w:r>
        <w:rPr>
          <w:rFonts w:hint="eastAsia" w:ascii="宋体" w:hAnsi="宋体" w:cs="宋体"/>
          <w:szCs w:val="21"/>
        </w:rPr>
        <w:t>相对湿度：5%--95% 不结露</w:t>
      </w:r>
    </w:p>
    <w:p>
      <w:pPr>
        <w:tabs>
          <w:tab w:val="left" w:pos="420"/>
        </w:tabs>
        <w:spacing w:line="360" w:lineRule="auto"/>
        <w:ind w:firstLine="420" w:firstLineChars="200"/>
        <w:rPr>
          <w:rFonts w:ascii="宋体" w:hAnsi="宋体" w:cs="宋体"/>
          <w:szCs w:val="21"/>
        </w:rPr>
      </w:pPr>
      <w:r>
        <w:rPr>
          <w:rFonts w:hint="eastAsia" w:ascii="宋体" w:hAnsi="宋体" w:cs="宋体"/>
          <w:szCs w:val="21"/>
        </w:rPr>
        <w:t xml:space="preserve">（7）安全性 </w:t>
      </w:r>
    </w:p>
    <w:p>
      <w:pPr>
        <w:tabs>
          <w:tab w:val="left" w:pos="420"/>
        </w:tabs>
        <w:spacing w:line="360" w:lineRule="auto"/>
        <w:ind w:firstLine="420" w:firstLineChars="200"/>
        <w:rPr>
          <w:rFonts w:ascii="宋体" w:hAnsi="宋体" w:cs="宋体"/>
          <w:szCs w:val="21"/>
        </w:rPr>
      </w:pPr>
      <w:r>
        <w:rPr>
          <w:rFonts w:hint="eastAsia" w:ascii="宋体" w:hAnsi="宋体" w:cs="宋体"/>
          <w:szCs w:val="21"/>
        </w:rPr>
        <w:t>设备耐压，绝缘强度：电源、电压输入回路&gt;2kV；</w:t>
      </w:r>
    </w:p>
    <w:p>
      <w:pPr>
        <w:tabs>
          <w:tab w:val="left" w:pos="420"/>
        </w:tabs>
        <w:spacing w:line="360" w:lineRule="auto"/>
        <w:ind w:firstLine="420" w:firstLineChars="200"/>
        <w:rPr>
          <w:rFonts w:ascii="宋体" w:hAnsi="宋体" w:cs="宋体"/>
          <w:szCs w:val="21"/>
        </w:rPr>
      </w:pPr>
      <w:r>
        <w:rPr>
          <w:rFonts w:hint="eastAsia" w:ascii="宋体" w:hAnsi="宋体" w:cs="宋体"/>
          <w:szCs w:val="21"/>
        </w:rPr>
        <w:t>电流回路&gt;2.5kV；</w:t>
      </w:r>
    </w:p>
    <w:p>
      <w:pPr>
        <w:tabs>
          <w:tab w:val="left" w:pos="420"/>
        </w:tabs>
        <w:spacing w:line="360" w:lineRule="auto"/>
        <w:ind w:firstLine="420" w:firstLineChars="200"/>
        <w:rPr>
          <w:rFonts w:ascii="宋体" w:hAnsi="宋体" w:cs="宋体"/>
          <w:szCs w:val="21"/>
        </w:rPr>
      </w:pPr>
      <w:r>
        <w:rPr>
          <w:rFonts w:hint="eastAsia" w:ascii="宋体" w:hAnsi="宋体" w:cs="宋体"/>
          <w:szCs w:val="21"/>
        </w:rPr>
        <w:t>（8）外形尺寸和重量</w:t>
      </w:r>
    </w:p>
    <w:p>
      <w:pPr>
        <w:tabs>
          <w:tab w:val="left" w:pos="420"/>
        </w:tabs>
        <w:spacing w:line="360" w:lineRule="auto"/>
        <w:ind w:firstLine="420" w:firstLineChars="200"/>
        <w:rPr>
          <w:rFonts w:ascii="宋体" w:hAnsi="宋体" w:cs="宋体"/>
          <w:szCs w:val="21"/>
        </w:rPr>
      </w:pPr>
      <w:r>
        <w:rPr>
          <w:rFonts w:hint="eastAsia" w:ascii="宋体" w:hAnsi="宋体" w:cs="宋体"/>
          <w:szCs w:val="21"/>
        </w:rPr>
        <w:t>外形96×96×75mm；</w:t>
      </w:r>
    </w:p>
    <w:p>
      <w:pPr>
        <w:tabs>
          <w:tab w:val="left" w:pos="420"/>
        </w:tabs>
        <w:spacing w:line="360" w:lineRule="auto"/>
        <w:ind w:firstLine="420" w:firstLineChars="200"/>
        <w:rPr>
          <w:rFonts w:ascii="宋体" w:hAnsi="宋体" w:cs="宋体"/>
          <w:szCs w:val="21"/>
        </w:rPr>
      </w:pPr>
      <w:r>
        <w:rPr>
          <w:rFonts w:hint="eastAsia" w:ascii="宋体" w:hAnsi="宋体" w:cs="宋体"/>
          <w:szCs w:val="21"/>
        </w:rPr>
        <w:t>重量0.4kg</w:t>
      </w:r>
    </w:p>
    <w:p>
      <w:pPr>
        <w:tabs>
          <w:tab w:val="left" w:pos="420"/>
        </w:tabs>
        <w:spacing w:line="360" w:lineRule="auto"/>
        <w:ind w:firstLine="420" w:firstLineChars="200"/>
        <w:rPr>
          <w:rFonts w:ascii="宋体" w:hAnsi="宋体" w:cs="宋体"/>
          <w:szCs w:val="21"/>
        </w:rPr>
      </w:pPr>
      <w:r>
        <w:rPr>
          <w:rFonts w:hint="eastAsia" w:ascii="宋体" w:hAnsi="宋体" w:cs="宋体"/>
          <w:szCs w:val="21"/>
        </w:rPr>
        <w:t>（9）电源</w:t>
      </w:r>
    </w:p>
    <w:p>
      <w:pPr>
        <w:tabs>
          <w:tab w:val="left" w:pos="420"/>
        </w:tabs>
        <w:spacing w:line="360" w:lineRule="auto"/>
        <w:ind w:firstLine="420" w:firstLineChars="200"/>
        <w:rPr>
          <w:rFonts w:ascii="宋体" w:hAnsi="宋体" w:cs="宋体"/>
          <w:szCs w:val="21"/>
        </w:rPr>
      </w:pPr>
      <w:r>
        <w:rPr>
          <w:rFonts w:hint="eastAsia" w:ascii="宋体" w:hAnsi="宋体" w:cs="宋体"/>
          <w:szCs w:val="21"/>
        </w:rPr>
        <w:t>额定值220VAC（+20%／-50%），50/60Hz或直流；</w:t>
      </w:r>
    </w:p>
    <w:p>
      <w:pPr>
        <w:tabs>
          <w:tab w:val="left" w:pos="420"/>
        </w:tabs>
        <w:spacing w:line="360" w:lineRule="auto"/>
        <w:ind w:firstLine="420" w:firstLineChars="200"/>
        <w:rPr>
          <w:rFonts w:ascii="宋体" w:hAnsi="宋体" w:cs="宋体"/>
          <w:szCs w:val="21"/>
        </w:rPr>
      </w:pPr>
      <w:r>
        <w:rPr>
          <w:rFonts w:hint="eastAsia" w:ascii="宋体" w:hAnsi="宋体" w:cs="宋体"/>
          <w:szCs w:val="21"/>
        </w:rPr>
        <w:t>功耗：&lt;4W。</w:t>
      </w:r>
    </w:p>
    <w:p>
      <w:pPr>
        <w:tabs>
          <w:tab w:val="left" w:pos="420"/>
        </w:tabs>
        <w:spacing w:line="360" w:lineRule="auto"/>
        <w:ind w:firstLine="420" w:firstLineChars="200"/>
        <w:rPr>
          <w:rFonts w:ascii="宋体" w:hAnsi="宋体" w:cs="宋体"/>
          <w:szCs w:val="21"/>
        </w:rPr>
      </w:pPr>
      <w:r>
        <w:rPr>
          <w:rFonts w:hint="eastAsia" w:ascii="宋体" w:hAnsi="宋体" w:cs="宋体"/>
          <w:szCs w:val="21"/>
        </w:rPr>
        <w:t>仪表参考选用上海南自科技股份有限公司SNP-200R系列、北京五力泰科技有限公司WLT3200系列、江阴东瑞电气有限公司TR96Y系列，同等及以上品牌产品。</w:t>
      </w:r>
    </w:p>
    <w:p>
      <w:pPr>
        <w:spacing w:line="360" w:lineRule="auto"/>
        <w:rPr>
          <w:rFonts w:ascii="宋体" w:hAnsi="宋体" w:cs="宋体"/>
          <w:szCs w:val="21"/>
        </w:rPr>
      </w:pPr>
      <w:r>
        <w:rPr>
          <w:rFonts w:hint="eastAsia" w:ascii="宋体" w:hAnsi="宋体" w:cs="宋体"/>
          <w:szCs w:val="21"/>
        </w:rPr>
        <w:t>6、变配电监控系统</w:t>
      </w:r>
      <w:r>
        <w:rPr>
          <w:rFonts w:hint="eastAsia" w:ascii="宋体" w:hAnsi="宋体"/>
          <w:szCs w:val="21"/>
        </w:rPr>
        <w:t>（后台）</w:t>
      </w:r>
    </w:p>
    <w:p>
      <w:pPr>
        <w:spacing w:line="360" w:lineRule="auto"/>
        <w:ind w:firstLine="420" w:firstLineChars="200"/>
        <w:rPr>
          <w:rFonts w:ascii="宋体" w:hAnsi="宋体" w:cs="宋体"/>
          <w:szCs w:val="21"/>
        </w:rPr>
      </w:pPr>
      <w:r>
        <w:rPr>
          <w:rFonts w:hint="eastAsia" w:ascii="宋体" w:hAnsi="宋体" w:cs="宋体"/>
          <w:szCs w:val="21"/>
        </w:rPr>
        <w:t>本项目设有变配电监控系统，按设计图纸及网络拓扑图要求完成整个电力系统的监控要求。该10kV配电系统按智能电网系统进行设计，通过对高压柜、低压柜、无功功率柜、配电监控模拟屏、以及变压器等所有配电设备的远程监控，形成测、控、管、计量与一体的自动化控制系统，完成对相关数据的采集、统计分析，及异常情况的预警；并在监控室变配电系统智能化系统操作员工作站显示出来。提高系统运行的可靠性，满足无人值守变电站的相关需求</w:t>
      </w:r>
      <w:r>
        <w:rPr>
          <w:rFonts w:hint="eastAsia" w:ascii="宋体" w:hAnsi="宋体" w:cs="宋体"/>
          <w:szCs w:val="21"/>
          <w:lang w:eastAsia="zh-CN"/>
        </w:rPr>
        <w:t>，</w:t>
      </w:r>
      <w:r>
        <w:rPr>
          <w:rFonts w:hint="eastAsia" w:ascii="宋体" w:hAnsi="宋体" w:cs="宋体"/>
          <w:szCs w:val="21"/>
        </w:rPr>
        <w:t>变配电监控系统与微机保护测控装置品牌选型必须保持一致，确保系统的兼容性、后期可维护性。</w:t>
      </w:r>
    </w:p>
    <w:p>
      <w:pPr>
        <w:spacing w:line="360" w:lineRule="auto"/>
        <w:ind w:firstLine="420" w:firstLineChars="200"/>
        <w:rPr>
          <w:rFonts w:ascii="宋体" w:hAnsi="宋体" w:cs="宋体"/>
          <w:szCs w:val="21"/>
        </w:rPr>
      </w:pPr>
      <w:r>
        <w:rPr>
          <w:rFonts w:hint="eastAsia" w:ascii="宋体" w:hAnsi="宋体" w:cs="宋体"/>
          <w:szCs w:val="21"/>
        </w:rPr>
        <w:t>变配电监控系统参考</w:t>
      </w:r>
      <w:r>
        <w:rPr>
          <w:rFonts w:hint="eastAsia" w:ascii="宋体" w:hAnsi="宋体"/>
          <w:szCs w:val="21"/>
        </w:rPr>
        <w:t>选用</w:t>
      </w:r>
      <w:r>
        <w:rPr>
          <w:rFonts w:hint="eastAsia"/>
          <w:szCs w:val="21"/>
        </w:rPr>
        <w:t>许继电气股份有限公司、</w:t>
      </w:r>
      <w:r>
        <w:rPr>
          <w:rFonts w:hint="eastAsia" w:ascii="宋体" w:hAnsi="宋体"/>
          <w:bCs/>
          <w:szCs w:val="21"/>
        </w:rPr>
        <w:t>上海南自科技股份有限公司</w:t>
      </w:r>
      <w:r>
        <w:rPr>
          <w:rFonts w:hint="eastAsia" w:ascii="宋体" w:hAnsi="宋体" w:cs="宋体"/>
          <w:color w:val="000000"/>
          <w:szCs w:val="21"/>
        </w:rPr>
        <w:t>、</w:t>
      </w:r>
      <w:r>
        <w:rPr>
          <w:rFonts w:hint="eastAsia" w:ascii="宋体" w:hAnsi="宋体"/>
          <w:color w:val="000000"/>
          <w:szCs w:val="21"/>
        </w:rPr>
        <w:t>郑州索菱电力科技有限公司，</w:t>
      </w:r>
      <w:r>
        <w:rPr>
          <w:rFonts w:hint="eastAsia" w:ascii="宋体" w:hAnsi="宋体" w:cs="宋体"/>
          <w:szCs w:val="21"/>
        </w:rPr>
        <w:t>同等及以上品牌。</w:t>
      </w:r>
    </w:p>
    <w:p>
      <w:pPr>
        <w:spacing w:line="360" w:lineRule="auto"/>
        <w:rPr>
          <w:rFonts w:ascii="宋体" w:hAnsi="宋体"/>
          <w:szCs w:val="21"/>
        </w:rPr>
      </w:pPr>
      <w:r>
        <w:rPr>
          <w:rFonts w:hint="eastAsia" w:ascii="宋体" w:hAnsi="宋体" w:cs="宋体"/>
          <w:szCs w:val="21"/>
        </w:rPr>
        <w:t>6</w:t>
      </w:r>
      <w:r>
        <w:rPr>
          <w:rFonts w:hint="eastAsia" w:ascii="宋体" w:hAnsi="宋体"/>
          <w:szCs w:val="21"/>
        </w:rPr>
        <w:t>.1变配电系统智能化系统至少具备以下基本功能：模拟量数据、数字量数据、电能量数据的采集和处理；控制、防误闭锁、人机对话、运行记录、运行信息显示及设备管理、校时功能；运算、自检和自恢复、通信功能(包括满足供电企业电网调度的信息需求)。</w:t>
      </w:r>
    </w:p>
    <w:p>
      <w:pPr>
        <w:spacing w:line="360" w:lineRule="auto"/>
        <w:rPr>
          <w:rFonts w:ascii="宋体" w:hAnsi="宋体"/>
          <w:szCs w:val="21"/>
        </w:rPr>
      </w:pPr>
      <w:r>
        <w:rPr>
          <w:rFonts w:hint="eastAsia" w:ascii="宋体" w:hAnsi="宋体"/>
          <w:szCs w:val="21"/>
        </w:rPr>
        <w:t>6.2 系统分为现场采集层、通讯管理层和中心监控层</w:t>
      </w:r>
    </w:p>
    <w:p>
      <w:pPr>
        <w:spacing w:line="360" w:lineRule="auto"/>
        <w:ind w:firstLine="420" w:firstLineChars="200"/>
        <w:rPr>
          <w:rFonts w:ascii="宋体" w:hAnsi="宋体"/>
          <w:szCs w:val="21"/>
        </w:rPr>
      </w:pPr>
      <w:r>
        <w:rPr>
          <w:rFonts w:hint="eastAsia" w:ascii="宋体" w:hAnsi="宋体"/>
          <w:szCs w:val="21"/>
        </w:rPr>
        <w:t>现场采集层主要由：高压综合保护装置、变压器温控仪、功率因数控制器、智能仪表等设备组成，采集层设备对高压开关、变压器、无功补偿、电量、电能质量等相关参数进行检测，采集的数据采用MODBUS/RS485总线形式联接到通讯管理机。</w:t>
      </w:r>
    </w:p>
    <w:p>
      <w:pPr>
        <w:spacing w:line="360" w:lineRule="auto"/>
        <w:ind w:firstLine="420" w:firstLineChars="200"/>
        <w:rPr>
          <w:rFonts w:ascii="宋体" w:hAnsi="宋体"/>
          <w:szCs w:val="21"/>
        </w:rPr>
      </w:pPr>
      <w:r>
        <w:rPr>
          <w:rFonts w:hint="eastAsia" w:ascii="宋体" w:hAnsi="宋体"/>
          <w:szCs w:val="21"/>
        </w:rPr>
        <w:t>通讯管理层主要由：通讯管理机、光端机、网络交换机、UPS电源等设备组成，通讯管理机通过工业以太网连接到控制中心交换机，通讯管理层采用TCP/IP工业以太网协议，速度达到10/100M。</w:t>
      </w:r>
    </w:p>
    <w:p>
      <w:pPr>
        <w:spacing w:line="360" w:lineRule="auto"/>
        <w:ind w:firstLine="420" w:firstLineChars="200"/>
        <w:rPr>
          <w:rFonts w:ascii="宋体" w:hAnsi="宋体"/>
          <w:szCs w:val="21"/>
        </w:rPr>
      </w:pPr>
      <w:r>
        <w:rPr>
          <w:rFonts w:hint="eastAsia" w:ascii="宋体" w:hAnsi="宋体"/>
          <w:szCs w:val="21"/>
        </w:rPr>
        <w:t>中心监控层主要由：服务器、监控主机、模拟监控屏、打印机等设备组成，底层数据按设计要求在监控主机、模拟监控屏上显示出来，并按要求打印相关报表。</w:t>
      </w:r>
    </w:p>
    <w:p>
      <w:pPr>
        <w:spacing w:line="360" w:lineRule="auto"/>
        <w:rPr>
          <w:rFonts w:ascii="宋体" w:hAnsi="宋体"/>
          <w:szCs w:val="21"/>
        </w:rPr>
      </w:pPr>
      <w:r>
        <w:rPr>
          <w:rFonts w:hint="eastAsia" w:ascii="宋体" w:hAnsi="宋体"/>
          <w:szCs w:val="21"/>
        </w:rPr>
        <w:t>6.3监控系统（后台）功能要求</w:t>
      </w:r>
    </w:p>
    <w:p>
      <w:pPr>
        <w:spacing w:line="360" w:lineRule="auto"/>
        <w:rPr>
          <w:rFonts w:ascii="宋体" w:hAnsi="宋体"/>
          <w:szCs w:val="21"/>
        </w:rPr>
      </w:pPr>
      <w:r>
        <w:rPr>
          <w:rFonts w:hint="eastAsia" w:ascii="宋体" w:hAnsi="宋体"/>
          <w:szCs w:val="21"/>
        </w:rPr>
        <w:t>6.3.1通讯功能</w:t>
      </w:r>
    </w:p>
    <w:p>
      <w:pPr>
        <w:pStyle w:val="24"/>
        <w:spacing w:line="360" w:lineRule="auto"/>
        <w:ind w:firstLine="420" w:firstLineChars="200"/>
        <w:rPr>
          <w:rFonts w:ascii="宋体" w:hAnsi="宋体"/>
          <w:szCs w:val="21"/>
        </w:rPr>
      </w:pPr>
      <w:r>
        <w:rPr>
          <w:rFonts w:hint="eastAsia" w:ascii="宋体" w:hAnsi="宋体"/>
          <w:szCs w:val="21"/>
        </w:rPr>
        <w:t>1）站内通讯管理层采用以太网通讯，网络速率大于10/100Mbps。</w:t>
      </w:r>
    </w:p>
    <w:p>
      <w:pPr>
        <w:pStyle w:val="24"/>
        <w:spacing w:line="360" w:lineRule="auto"/>
        <w:ind w:firstLine="420" w:firstLineChars="200"/>
        <w:rPr>
          <w:rFonts w:ascii="宋体" w:hAnsi="宋体"/>
          <w:szCs w:val="21"/>
        </w:rPr>
      </w:pPr>
      <w:r>
        <w:rPr>
          <w:rFonts w:hint="eastAsia" w:ascii="宋体" w:hAnsi="宋体"/>
          <w:szCs w:val="21"/>
        </w:rPr>
        <w:t>2）通讯管理机可提供多种通讯方式接口（如:232/485/以太网），能够实现多种通讯规约的转换，将现场采集到的信息转换为以太网通讯，网络速率大于10/100Mbps，大大提高了数据的传输速率，实现资源共享。装置面板装有汉化液晶显示器、工作指示灯和操作键盘。</w:t>
      </w:r>
    </w:p>
    <w:p>
      <w:pPr>
        <w:pStyle w:val="24"/>
        <w:spacing w:line="360" w:lineRule="auto"/>
        <w:ind w:firstLine="420" w:firstLineChars="200"/>
        <w:rPr>
          <w:rFonts w:ascii="宋体" w:hAnsi="宋体"/>
          <w:szCs w:val="21"/>
        </w:rPr>
      </w:pPr>
      <w:r>
        <w:rPr>
          <w:rFonts w:hint="eastAsia" w:ascii="宋体" w:hAnsi="宋体"/>
          <w:szCs w:val="21"/>
        </w:rPr>
        <w:t>3）通过MODBUS/485总线或以太网与各保护监测控制装置通讯。</w:t>
      </w:r>
    </w:p>
    <w:p>
      <w:pPr>
        <w:pStyle w:val="24"/>
        <w:spacing w:line="360" w:lineRule="auto"/>
        <w:ind w:firstLine="420" w:firstLineChars="200"/>
        <w:rPr>
          <w:rFonts w:ascii="宋体" w:hAnsi="宋体"/>
          <w:szCs w:val="21"/>
        </w:rPr>
      </w:pPr>
      <w:r>
        <w:rPr>
          <w:rFonts w:hint="eastAsia" w:ascii="宋体" w:hAnsi="宋体"/>
          <w:szCs w:val="21"/>
        </w:rPr>
        <w:t>4）与智能电度表通讯。</w:t>
      </w:r>
    </w:p>
    <w:p>
      <w:pPr>
        <w:pStyle w:val="24"/>
        <w:spacing w:line="360" w:lineRule="auto"/>
        <w:ind w:firstLine="420" w:firstLineChars="200"/>
        <w:rPr>
          <w:rFonts w:ascii="宋体" w:hAnsi="宋体"/>
          <w:szCs w:val="21"/>
        </w:rPr>
      </w:pPr>
      <w:r>
        <w:rPr>
          <w:rFonts w:hint="eastAsia" w:ascii="宋体" w:hAnsi="宋体"/>
          <w:szCs w:val="21"/>
        </w:rPr>
        <w:t>5）与其它智能设备（如：独立设置的无功补偿装置、微机五防、UPS等）通信，接收站内其它信息，并将运行数据送入管理信息系统。</w:t>
      </w:r>
    </w:p>
    <w:p>
      <w:pPr>
        <w:pStyle w:val="24"/>
        <w:spacing w:line="360" w:lineRule="auto"/>
        <w:ind w:firstLine="420" w:firstLineChars="200"/>
        <w:rPr>
          <w:rFonts w:ascii="宋体" w:hAnsi="宋体"/>
          <w:szCs w:val="21"/>
        </w:rPr>
      </w:pPr>
      <w:r>
        <w:rPr>
          <w:rFonts w:hint="eastAsia" w:ascii="宋体" w:hAnsi="宋体"/>
          <w:szCs w:val="21"/>
        </w:rPr>
        <w:t>6）事故总信号与预告总信号的控制与复归。</w:t>
      </w:r>
    </w:p>
    <w:p>
      <w:pPr>
        <w:pStyle w:val="24"/>
        <w:spacing w:line="360" w:lineRule="auto"/>
        <w:ind w:firstLine="420" w:firstLineChars="200"/>
        <w:rPr>
          <w:rFonts w:ascii="宋体" w:hAnsi="宋体"/>
          <w:szCs w:val="21"/>
        </w:rPr>
      </w:pPr>
      <w:r>
        <w:rPr>
          <w:rFonts w:hint="eastAsia" w:ascii="宋体" w:hAnsi="宋体"/>
          <w:szCs w:val="21"/>
        </w:rPr>
        <w:t>7）通讯口具有防雷措施。</w:t>
      </w:r>
    </w:p>
    <w:p>
      <w:pPr>
        <w:pStyle w:val="24"/>
        <w:spacing w:line="360" w:lineRule="auto"/>
        <w:ind w:firstLine="480"/>
        <w:rPr>
          <w:rFonts w:ascii="宋体" w:hAnsi="宋体"/>
          <w:szCs w:val="21"/>
        </w:rPr>
      </w:pPr>
      <w:r>
        <w:rPr>
          <w:rFonts w:hint="eastAsia" w:ascii="宋体" w:hAnsi="宋体"/>
          <w:szCs w:val="21"/>
        </w:rPr>
        <w:t>5.3.2 数据采集和处理功能</w:t>
      </w:r>
    </w:p>
    <w:p>
      <w:pPr>
        <w:spacing w:line="360" w:lineRule="auto"/>
        <w:ind w:firstLine="525" w:firstLineChars="250"/>
        <w:rPr>
          <w:rFonts w:ascii="宋体" w:hAnsi="宋体"/>
          <w:szCs w:val="21"/>
        </w:rPr>
      </w:pPr>
      <w:r>
        <w:rPr>
          <w:rFonts w:hint="eastAsia" w:ascii="宋体" w:hAnsi="宋体"/>
          <w:szCs w:val="21"/>
        </w:rPr>
        <w:t>1）控制室计算机监控系统应能实现数据采集和处理功能，其范围包括模拟量、开关量、电能量以及来自其它智能装置的数据。</w:t>
      </w:r>
    </w:p>
    <w:p>
      <w:pPr>
        <w:spacing w:line="360" w:lineRule="auto"/>
        <w:ind w:firstLine="525" w:firstLineChars="250"/>
        <w:rPr>
          <w:rFonts w:ascii="宋体" w:hAnsi="宋体"/>
          <w:szCs w:val="21"/>
        </w:rPr>
      </w:pPr>
      <w:r>
        <w:rPr>
          <w:rFonts w:ascii="宋体" w:hAnsi="宋体"/>
          <w:szCs w:val="21"/>
        </w:rPr>
        <w:t>2</w:t>
      </w:r>
      <w:r>
        <w:rPr>
          <w:rFonts w:hint="eastAsia" w:ascii="宋体" w:hAnsi="宋体"/>
          <w:szCs w:val="21"/>
        </w:rPr>
        <w:t>）模拟量的采集包括电流、电压、有功功率、无功功率、功率因数、频率以及温度等信号。电压互感器零序电压设越限报警，并以硬接点形式发母线接地报警信号。</w:t>
      </w:r>
    </w:p>
    <w:p>
      <w:pPr>
        <w:spacing w:line="360" w:lineRule="auto"/>
        <w:ind w:firstLine="525" w:firstLineChars="250"/>
        <w:rPr>
          <w:rFonts w:ascii="宋体" w:hAnsi="宋体"/>
          <w:szCs w:val="21"/>
        </w:rPr>
      </w:pPr>
      <w:r>
        <w:rPr>
          <w:rFonts w:hint="eastAsia" w:ascii="宋体" w:hAnsi="宋体"/>
          <w:szCs w:val="21"/>
        </w:rPr>
        <w:t>3）开关量的采集包括断路器、隔离开关以及接地刀闸的位置信号、继电保护装置和安全自动装置动作及报警信号、运行监视信号、无载调压变压器分接头位置信号等。</w:t>
      </w:r>
    </w:p>
    <w:p>
      <w:pPr>
        <w:spacing w:line="360" w:lineRule="auto"/>
        <w:ind w:firstLine="525" w:firstLineChars="250"/>
        <w:rPr>
          <w:rFonts w:ascii="宋体" w:hAnsi="宋体"/>
          <w:szCs w:val="21"/>
        </w:rPr>
      </w:pPr>
      <w:r>
        <w:rPr>
          <w:rFonts w:hint="eastAsia" w:ascii="宋体" w:hAnsi="宋体"/>
          <w:szCs w:val="21"/>
        </w:rPr>
        <w:t>4）对实时采集的模拟量，采用有效性检查及相应处理。对实时采集的开关量进行消除接点抖动的滤波处理。</w:t>
      </w:r>
    </w:p>
    <w:p>
      <w:pPr>
        <w:spacing w:line="360" w:lineRule="auto"/>
        <w:ind w:firstLine="525" w:firstLineChars="250"/>
        <w:rPr>
          <w:rFonts w:ascii="宋体" w:hAnsi="宋体"/>
          <w:szCs w:val="21"/>
        </w:rPr>
      </w:pPr>
      <w:r>
        <w:rPr>
          <w:rFonts w:hint="eastAsia" w:ascii="宋体" w:hAnsi="宋体"/>
          <w:szCs w:val="21"/>
        </w:rPr>
        <w:t>5）对通过数据通讯接口采集到的各种信息，分别进行相应处理。</w:t>
      </w:r>
    </w:p>
    <w:p>
      <w:pPr>
        <w:spacing w:line="360" w:lineRule="auto"/>
        <w:rPr>
          <w:rFonts w:ascii="宋体" w:hAnsi="宋体"/>
          <w:szCs w:val="21"/>
        </w:rPr>
      </w:pPr>
      <w:r>
        <w:rPr>
          <w:rFonts w:hint="eastAsia" w:ascii="宋体" w:hAnsi="宋体"/>
          <w:szCs w:val="21"/>
        </w:rPr>
        <w:t>6.3.3 显示功能</w:t>
      </w:r>
    </w:p>
    <w:p>
      <w:pPr>
        <w:tabs>
          <w:tab w:val="left" w:pos="2625"/>
        </w:tabs>
        <w:spacing w:line="360" w:lineRule="auto"/>
        <w:ind w:left="420" w:leftChars="200" w:firstLine="210" w:firstLineChars="100"/>
        <w:rPr>
          <w:rFonts w:ascii="宋体" w:hAnsi="宋体"/>
          <w:szCs w:val="21"/>
        </w:rPr>
      </w:pPr>
      <w:r>
        <w:rPr>
          <w:rFonts w:hint="eastAsia" w:ascii="宋体" w:hAnsi="宋体"/>
          <w:szCs w:val="21"/>
        </w:rPr>
        <w:t>1）主接线显示</w:t>
      </w:r>
      <w:r>
        <w:rPr>
          <w:rFonts w:ascii="宋体" w:hAnsi="宋体"/>
          <w:szCs w:val="21"/>
        </w:rPr>
        <w:tab/>
      </w:r>
    </w:p>
    <w:p>
      <w:pPr>
        <w:spacing w:line="360" w:lineRule="auto"/>
        <w:ind w:left="420" w:leftChars="200" w:firstLine="420" w:firstLineChars="200"/>
        <w:rPr>
          <w:rFonts w:ascii="宋体" w:hAnsi="宋体"/>
          <w:szCs w:val="21"/>
        </w:rPr>
      </w:pPr>
      <w:r>
        <w:rPr>
          <w:rFonts w:hint="eastAsia" w:ascii="宋体" w:hAnsi="宋体"/>
          <w:szCs w:val="21"/>
        </w:rPr>
        <w:t>显示电气主接线，包括各断路器、刀闸状态（变位时闪烁指示）、各回路带电情况。</w:t>
      </w:r>
    </w:p>
    <w:p>
      <w:pPr>
        <w:tabs>
          <w:tab w:val="left" w:pos="900"/>
        </w:tabs>
        <w:spacing w:line="360" w:lineRule="auto"/>
        <w:ind w:left="420"/>
        <w:rPr>
          <w:rFonts w:ascii="宋体" w:hAnsi="宋体"/>
          <w:szCs w:val="21"/>
        </w:rPr>
      </w:pPr>
      <w:r>
        <w:rPr>
          <w:rFonts w:hint="eastAsia" w:ascii="宋体" w:hAnsi="宋体"/>
          <w:szCs w:val="21"/>
        </w:rPr>
        <w:t>2）显示厂用电系统图。</w:t>
      </w:r>
    </w:p>
    <w:p>
      <w:pPr>
        <w:tabs>
          <w:tab w:val="left" w:pos="900"/>
        </w:tabs>
        <w:spacing w:line="360" w:lineRule="auto"/>
        <w:ind w:left="420"/>
        <w:rPr>
          <w:rFonts w:ascii="宋体" w:hAnsi="宋体"/>
          <w:szCs w:val="21"/>
        </w:rPr>
      </w:pPr>
      <w:r>
        <w:rPr>
          <w:rFonts w:hint="eastAsia" w:ascii="宋体" w:hAnsi="宋体"/>
          <w:szCs w:val="21"/>
        </w:rPr>
        <w:t>3）显示成组报警画面，相关报警画面。</w:t>
      </w:r>
    </w:p>
    <w:p>
      <w:pPr>
        <w:tabs>
          <w:tab w:val="left" w:pos="900"/>
        </w:tabs>
        <w:spacing w:line="360" w:lineRule="auto"/>
        <w:ind w:left="420"/>
        <w:rPr>
          <w:rFonts w:ascii="宋体" w:hAnsi="宋体"/>
          <w:szCs w:val="21"/>
        </w:rPr>
      </w:pPr>
      <w:r>
        <w:rPr>
          <w:rFonts w:hint="eastAsia" w:ascii="宋体" w:hAnsi="宋体"/>
          <w:szCs w:val="21"/>
        </w:rPr>
        <w:t>4）显示遥测量。</w:t>
      </w:r>
    </w:p>
    <w:p>
      <w:pPr>
        <w:spacing w:line="360" w:lineRule="auto"/>
        <w:ind w:left="420" w:leftChars="200" w:firstLine="420" w:firstLineChars="200"/>
        <w:rPr>
          <w:rFonts w:ascii="宋体" w:hAnsi="宋体"/>
          <w:szCs w:val="21"/>
        </w:rPr>
      </w:pPr>
      <w:r>
        <w:rPr>
          <w:rFonts w:hint="eastAsia" w:ascii="宋体" w:hAnsi="宋体"/>
          <w:szCs w:val="21"/>
        </w:rPr>
        <w:t>以设备及遥测量类别分类列表显示遥测量。</w:t>
      </w:r>
    </w:p>
    <w:p>
      <w:pPr>
        <w:spacing w:line="360" w:lineRule="auto"/>
        <w:ind w:left="420" w:leftChars="200" w:firstLine="420" w:firstLineChars="200"/>
        <w:rPr>
          <w:rFonts w:ascii="宋体" w:hAnsi="宋体"/>
          <w:szCs w:val="21"/>
        </w:rPr>
      </w:pPr>
      <w:r>
        <w:rPr>
          <w:rFonts w:hint="eastAsia" w:ascii="宋体" w:hAnsi="宋体"/>
          <w:szCs w:val="21"/>
        </w:rPr>
        <w:t>以棒图、趋势图显示所有电气、非电气瞬时遥测量，包括有功、无功功率，电流，电压，温度等。</w:t>
      </w:r>
    </w:p>
    <w:p>
      <w:pPr>
        <w:tabs>
          <w:tab w:val="left" w:pos="900"/>
        </w:tabs>
        <w:spacing w:line="360" w:lineRule="auto"/>
        <w:ind w:left="420"/>
        <w:rPr>
          <w:rFonts w:ascii="宋体" w:hAnsi="宋体"/>
          <w:szCs w:val="21"/>
        </w:rPr>
      </w:pPr>
      <w:r>
        <w:rPr>
          <w:rFonts w:hint="eastAsia" w:ascii="宋体" w:hAnsi="宋体"/>
          <w:szCs w:val="21"/>
        </w:rPr>
        <w:t>5）显示遥信量</w:t>
      </w:r>
    </w:p>
    <w:p>
      <w:pPr>
        <w:spacing w:line="360" w:lineRule="auto"/>
        <w:ind w:left="420" w:leftChars="200" w:firstLine="420" w:firstLineChars="200"/>
        <w:rPr>
          <w:rFonts w:ascii="宋体" w:hAnsi="宋体"/>
          <w:szCs w:val="21"/>
        </w:rPr>
      </w:pPr>
      <w:r>
        <w:rPr>
          <w:rFonts w:hint="eastAsia" w:ascii="宋体" w:hAnsi="宋体"/>
          <w:szCs w:val="21"/>
        </w:rPr>
        <w:t>列表显示断路器、刀闸，保护动作、设备故障发生、遥测量数据越限等情况。</w:t>
      </w:r>
    </w:p>
    <w:p>
      <w:pPr>
        <w:tabs>
          <w:tab w:val="left" w:pos="900"/>
        </w:tabs>
        <w:spacing w:line="360" w:lineRule="auto"/>
        <w:ind w:left="420"/>
        <w:rPr>
          <w:rFonts w:ascii="宋体" w:hAnsi="宋体"/>
          <w:szCs w:val="21"/>
        </w:rPr>
      </w:pPr>
      <w:r>
        <w:rPr>
          <w:rFonts w:hint="eastAsia" w:ascii="宋体" w:hAnsi="宋体"/>
          <w:szCs w:val="21"/>
        </w:rPr>
        <w:t>6）显示继电保护整定值一览表。</w:t>
      </w:r>
    </w:p>
    <w:p>
      <w:pPr>
        <w:tabs>
          <w:tab w:val="left" w:pos="900"/>
        </w:tabs>
        <w:spacing w:line="360" w:lineRule="auto"/>
        <w:ind w:left="420"/>
        <w:rPr>
          <w:rFonts w:ascii="宋体" w:hAnsi="宋体"/>
          <w:szCs w:val="21"/>
        </w:rPr>
      </w:pPr>
      <w:r>
        <w:rPr>
          <w:rFonts w:hint="eastAsia" w:ascii="宋体" w:hAnsi="宋体"/>
          <w:szCs w:val="21"/>
        </w:rPr>
        <w:t>7）显示事故追忆记录报告和曲线（SOE）。</w:t>
      </w:r>
    </w:p>
    <w:p>
      <w:pPr>
        <w:tabs>
          <w:tab w:val="left" w:pos="900"/>
        </w:tabs>
        <w:spacing w:line="360" w:lineRule="auto"/>
        <w:ind w:left="420"/>
        <w:rPr>
          <w:rFonts w:ascii="宋体" w:hAnsi="宋体"/>
          <w:szCs w:val="21"/>
        </w:rPr>
      </w:pPr>
      <w:r>
        <w:rPr>
          <w:rFonts w:hint="eastAsia" w:ascii="宋体" w:hAnsi="宋体"/>
          <w:szCs w:val="21"/>
        </w:rPr>
        <w:t>8）显示浏览各类历史数据、报表等。</w:t>
      </w:r>
    </w:p>
    <w:p>
      <w:pPr>
        <w:tabs>
          <w:tab w:val="left" w:pos="840"/>
          <w:tab w:val="left" w:pos="900"/>
        </w:tabs>
        <w:spacing w:line="360" w:lineRule="auto"/>
        <w:rPr>
          <w:rFonts w:ascii="宋体" w:hAnsi="宋体"/>
          <w:szCs w:val="21"/>
        </w:rPr>
      </w:pPr>
      <w:r>
        <w:rPr>
          <w:rFonts w:hint="eastAsia" w:ascii="宋体" w:hAnsi="宋体"/>
          <w:szCs w:val="21"/>
        </w:rPr>
        <w:t>6.3.4 打印功能</w:t>
      </w:r>
    </w:p>
    <w:p>
      <w:pPr>
        <w:spacing w:line="360" w:lineRule="auto"/>
        <w:ind w:firstLine="420" w:firstLineChars="200"/>
        <w:rPr>
          <w:rFonts w:ascii="宋体" w:hAnsi="宋体"/>
          <w:szCs w:val="21"/>
        </w:rPr>
      </w:pPr>
      <w:r>
        <w:rPr>
          <w:rFonts w:hint="eastAsia" w:ascii="宋体" w:hAnsi="宋体"/>
          <w:szCs w:val="21"/>
        </w:rPr>
        <w:t>主控层设打印机，具有定时、召唤、随机打印功能。</w:t>
      </w:r>
    </w:p>
    <w:p>
      <w:pPr>
        <w:numPr>
          <w:ilvl w:val="1"/>
          <w:numId w:val="6"/>
        </w:numPr>
        <w:spacing w:line="360" w:lineRule="auto"/>
        <w:rPr>
          <w:rFonts w:ascii="宋体" w:hAnsi="宋体"/>
          <w:szCs w:val="21"/>
        </w:rPr>
      </w:pPr>
      <w:r>
        <w:rPr>
          <w:rFonts w:hint="eastAsia" w:ascii="宋体" w:hAnsi="宋体"/>
          <w:szCs w:val="21"/>
        </w:rPr>
        <w:t>定时打印：定时打印各类年、月、日报表。</w:t>
      </w:r>
    </w:p>
    <w:p>
      <w:pPr>
        <w:numPr>
          <w:ilvl w:val="1"/>
          <w:numId w:val="6"/>
        </w:numPr>
        <w:spacing w:line="360" w:lineRule="auto"/>
        <w:rPr>
          <w:rFonts w:ascii="宋体" w:hAnsi="宋体"/>
          <w:szCs w:val="21"/>
        </w:rPr>
      </w:pPr>
      <w:r>
        <w:rPr>
          <w:rFonts w:hint="eastAsia" w:ascii="宋体" w:hAnsi="宋体"/>
          <w:szCs w:val="21"/>
        </w:rPr>
        <w:t>召唤打印：可召唤打印屏幕上显示的各类数据、图表及曲线，可召唤打印各类月、日、时报表。</w:t>
      </w:r>
    </w:p>
    <w:p>
      <w:pPr>
        <w:numPr>
          <w:ilvl w:val="1"/>
          <w:numId w:val="6"/>
        </w:numPr>
        <w:tabs>
          <w:tab w:val="left" w:pos="-2205"/>
        </w:tabs>
        <w:spacing w:line="360" w:lineRule="auto"/>
        <w:rPr>
          <w:rFonts w:ascii="宋体" w:hAnsi="宋体"/>
          <w:szCs w:val="21"/>
        </w:rPr>
      </w:pPr>
      <w:r>
        <w:rPr>
          <w:rFonts w:hint="eastAsia" w:ascii="宋体" w:hAnsi="宋体"/>
          <w:szCs w:val="21"/>
        </w:rPr>
        <w:t>随机打印：可随机打印各类遥信变位、数据越限等。（包括各类保护动作，机组启停，开关、刀闸分合，设备故障等）</w:t>
      </w:r>
    </w:p>
    <w:p>
      <w:pPr>
        <w:tabs>
          <w:tab w:val="left" w:pos="-2205"/>
          <w:tab w:val="left" w:pos="780"/>
        </w:tabs>
        <w:spacing w:line="360" w:lineRule="auto"/>
        <w:rPr>
          <w:rFonts w:ascii="宋体" w:hAnsi="宋体"/>
          <w:szCs w:val="21"/>
        </w:rPr>
      </w:pPr>
      <w:r>
        <w:rPr>
          <w:rFonts w:hint="eastAsia" w:ascii="宋体" w:hAnsi="宋体"/>
          <w:szCs w:val="21"/>
        </w:rPr>
        <w:t>5.3.5 事故处理功能</w:t>
      </w:r>
    </w:p>
    <w:p>
      <w:pPr>
        <w:spacing w:line="360" w:lineRule="auto"/>
        <w:ind w:left="273" w:leftChars="130" w:firstLine="420" w:firstLineChars="200"/>
        <w:rPr>
          <w:rFonts w:ascii="宋体" w:hAnsi="宋体"/>
          <w:szCs w:val="21"/>
        </w:rPr>
      </w:pPr>
      <w:r>
        <w:rPr>
          <w:rFonts w:hint="eastAsia" w:ascii="宋体" w:hAnsi="宋体"/>
          <w:szCs w:val="21"/>
        </w:rPr>
        <w:t>1) 报警内容应包括：设备状态异常、故障、测量值越限及计算机监控系统的软、硬件、通信接口及网络故障等。各类遥信变位，数据越限时，自动进行事故登录（事件顺序记录，SOE分辨率≤2ms）进行语音报警，启动相关的音响。对遥信历史记录可显示阅览、也可召唤打印。</w:t>
      </w:r>
    </w:p>
    <w:p>
      <w:pPr>
        <w:spacing w:line="360" w:lineRule="auto"/>
        <w:ind w:left="273" w:leftChars="130" w:firstLine="420" w:firstLineChars="200"/>
        <w:rPr>
          <w:rFonts w:ascii="宋体" w:hAnsi="宋体"/>
          <w:szCs w:val="21"/>
        </w:rPr>
      </w:pPr>
      <w:r>
        <w:rPr>
          <w:rFonts w:hint="eastAsia" w:ascii="宋体" w:hAnsi="宋体"/>
          <w:szCs w:val="21"/>
        </w:rPr>
        <w:t>2) 报警信息的来源应包括计算机监控系统自身采集和通过数据通信接口获取的各种数据。</w:t>
      </w:r>
    </w:p>
    <w:p>
      <w:pPr>
        <w:spacing w:line="360" w:lineRule="auto"/>
        <w:ind w:left="273" w:leftChars="130" w:firstLine="420" w:firstLineChars="200"/>
        <w:rPr>
          <w:rFonts w:ascii="宋体" w:hAnsi="宋体"/>
          <w:szCs w:val="21"/>
        </w:rPr>
      </w:pPr>
      <w:r>
        <w:rPr>
          <w:rFonts w:hint="eastAsia" w:ascii="宋体" w:hAnsi="宋体"/>
          <w:szCs w:val="21"/>
        </w:rPr>
        <w:t>3) 画面跟踪。当事件发生时，自动推出相关画面，经分析处理后提出应采取的措施或必要的操作。报警处理分类、分级进行。报警信息的存储便于查阅、检索，可按电气设备分类显示，并可分层查询。报警输出信息直观、醒目，并伴以声、光、色效果。信息组合方式可设定。报警条文用语规范化。报警信息的处理向站控层、集控和远程调度中心发送，以避免中间处理。并能予以报警确认。</w:t>
      </w:r>
    </w:p>
    <w:p>
      <w:pPr>
        <w:spacing w:line="360" w:lineRule="auto"/>
        <w:ind w:left="273" w:leftChars="130" w:firstLine="420" w:firstLineChars="200"/>
        <w:rPr>
          <w:rFonts w:ascii="宋体" w:hAnsi="宋体"/>
          <w:szCs w:val="21"/>
        </w:rPr>
      </w:pPr>
      <w:r>
        <w:rPr>
          <w:rFonts w:hint="eastAsia" w:ascii="宋体" w:hAnsi="宋体"/>
          <w:szCs w:val="21"/>
        </w:rPr>
        <w:t>4) 事故追忆。发生事故时，相关参量进行追忆记录，以供运行人员做事故分析，对事故追忆历史数据可随时召唤显示、打印和拷贝。</w:t>
      </w:r>
    </w:p>
    <w:p>
      <w:pPr>
        <w:spacing w:line="360" w:lineRule="auto"/>
        <w:rPr>
          <w:rFonts w:ascii="宋体" w:hAnsi="宋体"/>
          <w:szCs w:val="21"/>
        </w:rPr>
      </w:pPr>
      <w:r>
        <w:rPr>
          <w:rFonts w:hint="eastAsia" w:ascii="宋体" w:hAnsi="宋体"/>
          <w:szCs w:val="21"/>
        </w:rPr>
        <w:t>6.3.6报表统计功能</w:t>
      </w:r>
    </w:p>
    <w:p>
      <w:pPr>
        <w:spacing w:line="360" w:lineRule="auto"/>
        <w:ind w:firstLine="420" w:firstLineChars="200"/>
        <w:rPr>
          <w:rFonts w:ascii="宋体" w:hAnsi="宋体"/>
          <w:szCs w:val="21"/>
        </w:rPr>
      </w:pPr>
      <w:r>
        <w:rPr>
          <w:rFonts w:hint="eastAsia" w:ascii="宋体" w:hAnsi="宋体"/>
          <w:szCs w:val="21"/>
        </w:rPr>
        <w:t>1）自动生成各类月、日、时报表（包括母线电压监测日报表、电度量日/月报表，机组及变压器运行报表，开关正常/事故跳闸统计报表、运行日志等），并可自动或召唤打印。</w:t>
      </w:r>
    </w:p>
    <w:p>
      <w:pPr>
        <w:spacing w:line="360" w:lineRule="auto"/>
        <w:rPr>
          <w:rFonts w:ascii="宋体" w:hAnsi="宋体"/>
          <w:szCs w:val="21"/>
        </w:rPr>
      </w:pPr>
      <w:r>
        <w:rPr>
          <w:rFonts w:hint="eastAsia" w:ascii="宋体" w:hAnsi="宋体"/>
          <w:szCs w:val="21"/>
        </w:rPr>
        <w:t xml:space="preserve">2）设备运行统计记录及生产管理 </w:t>
      </w:r>
    </w:p>
    <w:p>
      <w:pPr>
        <w:spacing w:line="360" w:lineRule="auto"/>
        <w:ind w:firstLine="420" w:firstLineChars="200"/>
        <w:rPr>
          <w:rFonts w:ascii="宋体" w:hAnsi="宋体"/>
          <w:szCs w:val="21"/>
        </w:rPr>
      </w:pPr>
      <w:r>
        <w:rPr>
          <w:rFonts w:hint="eastAsia" w:ascii="宋体" w:hAnsi="宋体"/>
          <w:szCs w:val="21"/>
        </w:rPr>
        <w:t>对各类设备运行状态进行监视，采集相关遥信遥测量，判断设备运行情况、操作次数、故障情况及相关模拟量的越限情况，对于没有接入点的设备相关信息，可由值班操作员录入、设定，计算机将对该类设定进行记录标识，并对该设定进行统计、管理。</w:t>
      </w:r>
    </w:p>
    <w:p>
      <w:pPr>
        <w:spacing w:line="360" w:lineRule="auto"/>
        <w:rPr>
          <w:rFonts w:ascii="宋体" w:hAnsi="宋体"/>
          <w:szCs w:val="21"/>
        </w:rPr>
      </w:pPr>
      <w:r>
        <w:rPr>
          <w:rFonts w:hint="eastAsia" w:ascii="宋体" w:hAnsi="宋体"/>
          <w:szCs w:val="21"/>
        </w:rPr>
        <w:t>6.3.7 控制功能</w:t>
      </w:r>
    </w:p>
    <w:p>
      <w:pPr>
        <w:spacing w:line="360" w:lineRule="auto"/>
        <w:ind w:firstLine="420" w:firstLineChars="200"/>
        <w:rPr>
          <w:rFonts w:ascii="宋体" w:hAnsi="宋体"/>
          <w:szCs w:val="21"/>
        </w:rPr>
      </w:pPr>
      <w:r>
        <w:rPr>
          <w:rFonts w:hint="eastAsia" w:ascii="宋体" w:hAnsi="宋体"/>
          <w:szCs w:val="21"/>
        </w:rPr>
        <w:t>具备远程功能，具有“四遥”功能，实现自动化监控系统要求。</w:t>
      </w:r>
    </w:p>
    <w:p>
      <w:pPr>
        <w:spacing w:line="360" w:lineRule="auto"/>
        <w:rPr>
          <w:rFonts w:ascii="宋体" w:hAnsi="宋体"/>
          <w:szCs w:val="21"/>
        </w:rPr>
      </w:pPr>
      <w:r>
        <w:rPr>
          <w:rFonts w:hint="eastAsia" w:ascii="宋体" w:hAnsi="宋体"/>
          <w:szCs w:val="21"/>
        </w:rPr>
        <w:t>6.3.8 数据库管理功能</w:t>
      </w:r>
    </w:p>
    <w:p>
      <w:pPr>
        <w:spacing w:line="360" w:lineRule="auto"/>
        <w:ind w:firstLine="420" w:firstLineChars="200"/>
        <w:rPr>
          <w:rFonts w:ascii="宋体" w:hAnsi="宋体"/>
          <w:szCs w:val="21"/>
        </w:rPr>
      </w:pPr>
      <w:r>
        <w:rPr>
          <w:rFonts w:hint="eastAsia" w:ascii="宋体" w:hAnsi="宋体"/>
          <w:szCs w:val="21"/>
        </w:rPr>
        <w:t>控制室计算机监控系统建立实时数据库，存储并随时更新来自I/O单元及通讯接口的全部实时数据。</w:t>
      </w:r>
    </w:p>
    <w:p>
      <w:pPr>
        <w:spacing w:line="360" w:lineRule="auto"/>
        <w:ind w:firstLine="420" w:firstLineChars="200"/>
        <w:rPr>
          <w:rFonts w:ascii="宋体" w:hAnsi="宋体"/>
          <w:szCs w:val="21"/>
        </w:rPr>
      </w:pPr>
      <w:r>
        <w:rPr>
          <w:rFonts w:hint="eastAsia" w:ascii="宋体" w:hAnsi="宋体"/>
          <w:szCs w:val="21"/>
        </w:rPr>
        <w:t>控制室计算机监控系统建立历史数据库，存储并定期更新需要保存的历史数据和运行报表数据。</w:t>
      </w:r>
    </w:p>
    <w:p>
      <w:pPr>
        <w:spacing w:line="360" w:lineRule="auto"/>
        <w:ind w:firstLine="420" w:firstLineChars="200"/>
        <w:rPr>
          <w:rFonts w:ascii="宋体" w:hAnsi="宋体"/>
          <w:szCs w:val="21"/>
        </w:rPr>
      </w:pPr>
      <w:r>
        <w:rPr>
          <w:rFonts w:hint="eastAsia" w:ascii="宋体" w:hAnsi="宋体"/>
          <w:szCs w:val="21"/>
        </w:rPr>
        <w:t>1) 计算机系统对所有外部设定如各种定/限值，各种操作命令、控制命令、运行方式命令等进行记录，存贮。</w:t>
      </w:r>
    </w:p>
    <w:p>
      <w:pPr>
        <w:spacing w:line="360" w:lineRule="auto"/>
        <w:ind w:firstLine="420" w:firstLineChars="200"/>
        <w:rPr>
          <w:rFonts w:ascii="宋体" w:hAnsi="宋体"/>
          <w:szCs w:val="21"/>
        </w:rPr>
      </w:pPr>
      <w:r>
        <w:rPr>
          <w:rFonts w:hint="eastAsia" w:ascii="宋体" w:hAnsi="宋体"/>
          <w:szCs w:val="21"/>
        </w:rPr>
        <w:t>2) 计算机系统对所有接收的其它控制系统参数等数据进行存贮、记录，以备查实校验。</w:t>
      </w:r>
    </w:p>
    <w:p>
      <w:pPr>
        <w:spacing w:line="360" w:lineRule="auto"/>
        <w:ind w:firstLine="420" w:firstLineChars="200"/>
        <w:rPr>
          <w:rFonts w:ascii="宋体" w:hAnsi="宋体"/>
          <w:szCs w:val="21"/>
        </w:rPr>
      </w:pPr>
      <w:r>
        <w:rPr>
          <w:rFonts w:hint="eastAsia" w:ascii="宋体" w:hAnsi="宋体"/>
          <w:szCs w:val="21"/>
        </w:rPr>
        <w:t>3) 计算机对所有设备参数、参数表进行存贮，对所有一次设备运行、备用、维护等情况进行记录存贮。</w:t>
      </w:r>
    </w:p>
    <w:p>
      <w:pPr>
        <w:spacing w:line="360" w:lineRule="auto"/>
        <w:ind w:firstLine="420" w:firstLineChars="200"/>
        <w:rPr>
          <w:rFonts w:ascii="宋体" w:hAnsi="宋体"/>
          <w:szCs w:val="21"/>
        </w:rPr>
      </w:pPr>
      <w:r>
        <w:rPr>
          <w:rFonts w:hint="eastAsia" w:ascii="宋体" w:hAnsi="宋体"/>
          <w:szCs w:val="21"/>
        </w:rPr>
        <w:t>4）数据库能进行在线维护，增加、减少、修改数据项。</w:t>
      </w:r>
    </w:p>
    <w:p>
      <w:pPr>
        <w:spacing w:line="360" w:lineRule="auto"/>
        <w:ind w:firstLine="420" w:firstLineChars="200"/>
        <w:rPr>
          <w:rFonts w:ascii="宋体" w:hAnsi="宋体"/>
          <w:szCs w:val="21"/>
        </w:rPr>
      </w:pPr>
      <w:r>
        <w:rPr>
          <w:rFonts w:hint="eastAsia" w:ascii="宋体" w:hAnsi="宋体"/>
          <w:szCs w:val="21"/>
        </w:rPr>
        <w:t>5）数据库有极高的安全性，所有经采集的数据均不能修改。</w:t>
      </w:r>
    </w:p>
    <w:p>
      <w:pPr>
        <w:spacing w:line="360" w:lineRule="auto"/>
        <w:rPr>
          <w:rFonts w:ascii="宋体" w:hAnsi="宋体"/>
          <w:szCs w:val="21"/>
        </w:rPr>
      </w:pPr>
      <w:r>
        <w:rPr>
          <w:rFonts w:hint="eastAsia" w:ascii="宋体" w:hAnsi="宋体"/>
          <w:szCs w:val="21"/>
        </w:rPr>
        <w:t>6.3.9 人机接口及组态功能</w:t>
      </w:r>
    </w:p>
    <w:p>
      <w:pPr>
        <w:spacing w:line="360" w:lineRule="auto"/>
        <w:ind w:firstLine="420" w:firstLineChars="200"/>
        <w:rPr>
          <w:rFonts w:ascii="宋体" w:hAnsi="宋体"/>
          <w:szCs w:val="21"/>
        </w:rPr>
      </w:pPr>
      <w:r>
        <w:rPr>
          <w:rFonts w:hint="eastAsia" w:ascii="宋体" w:hAnsi="宋体"/>
          <w:szCs w:val="21"/>
        </w:rPr>
        <w:t>主机/操作员站是控制室计算机监控系统与运行人员联系的主要界面，人机界面简单、直观、操作明确、可靠</w:t>
      </w:r>
    </w:p>
    <w:p>
      <w:pPr>
        <w:spacing w:line="360" w:lineRule="auto"/>
        <w:ind w:firstLine="420" w:firstLineChars="200"/>
        <w:rPr>
          <w:rFonts w:ascii="宋体" w:hAnsi="宋体"/>
          <w:szCs w:val="21"/>
        </w:rPr>
      </w:pPr>
      <w:r>
        <w:rPr>
          <w:rFonts w:hint="eastAsia" w:ascii="宋体" w:hAnsi="宋体"/>
          <w:szCs w:val="21"/>
        </w:rPr>
        <w:t>主机/操作员站为运行人员所提供的人机联系包括：调用、显示和拷贝各种图形、曲线、报表；发出操作控制命令；查看历史数值以及各项定值、故障报告、采样值、装置运行情况等；图形及报表的生成、修改；报警确认，报警点的退出/恢复；在线编辑和打印；数据库的定义和修改，各种应用程序的参数定义和修改，现场二次开发等其他功能。</w:t>
      </w:r>
    </w:p>
    <w:p>
      <w:pPr>
        <w:spacing w:line="360" w:lineRule="auto"/>
        <w:ind w:firstLine="420" w:firstLineChars="200"/>
        <w:rPr>
          <w:rFonts w:ascii="宋体" w:hAnsi="宋体"/>
          <w:szCs w:val="21"/>
        </w:rPr>
      </w:pPr>
      <w:r>
        <w:rPr>
          <w:rFonts w:hint="eastAsia" w:ascii="宋体" w:hAnsi="宋体"/>
          <w:szCs w:val="21"/>
        </w:rPr>
        <w:t>所有对计算机监控系统数据、程序、参数等的修改，均予以记录。</w:t>
      </w:r>
    </w:p>
    <w:p>
      <w:pPr>
        <w:spacing w:line="360" w:lineRule="auto"/>
        <w:rPr>
          <w:rFonts w:ascii="宋体" w:hAnsi="宋体"/>
          <w:szCs w:val="21"/>
        </w:rPr>
      </w:pPr>
      <w:r>
        <w:rPr>
          <w:rFonts w:hint="eastAsia" w:ascii="宋体" w:hAnsi="宋体"/>
          <w:szCs w:val="21"/>
        </w:rPr>
        <w:t>6.3.10 语音自动报警功能</w:t>
      </w:r>
    </w:p>
    <w:p>
      <w:pPr>
        <w:spacing w:line="360" w:lineRule="auto"/>
        <w:ind w:firstLine="420" w:firstLineChars="200"/>
        <w:rPr>
          <w:rFonts w:ascii="宋体" w:hAnsi="宋体"/>
          <w:szCs w:val="21"/>
        </w:rPr>
      </w:pPr>
      <w:r>
        <w:rPr>
          <w:rFonts w:hint="eastAsia" w:ascii="宋体" w:hAnsi="宋体"/>
          <w:szCs w:val="21"/>
        </w:rPr>
        <w:t>当变电站设备发生事故或故障时，自动进行普通话语音报警。并具有扩充能力，用户可以根据自己的需要添加或修改报警信息。</w:t>
      </w:r>
    </w:p>
    <w:p>
      <w:pPr>
        <w:spacing w:line="360" w:lineRule="auto"/>
        <w:rPr>
          <w:rFonts w:ascii="宋体" w:hAnsi="宋体"/>
          <w:szCs w:val="21"/>
        </w:rPr>
      </w:pPr>
      <w:r>
        <w:rPr>
          <w:rFonts w:hint="eastAsia" w:ascii="宋体" w:hAnsi="宋体"/>
          <w:szCs w:val="21"/>
        </w:rPr>
        <w:t>6.3.11 系统的安全性</w:t>
      </w:r>
    </w:p>
    <w:p>
      <w:pPr>
        <w:spacing w:line="360" w:lineRule="auto"/>
        <w:ind w:firstLine="630" w:firstLineChars="300"/>
        <w:rPr>
          <w:rFonts w:ascii="宋体" w:hAnsi="宋体"/>
          <w:szCs w:val="21"/>
        </w:rPr>
      </w:pPr>
      <w:r>
        <w:rPr>
          <w:rFonts w:hint="eastAsia" w:ascii="宋体" w:hAnsi="宋体"/>
          <w:szCs w:val="21"/>
        </w:rPr>
        <w:t>1）具有故障自诊断和自恢复功能。</w:t>
      </w:r>
    </w:p>
    <w:p>
      <w:pPr>
        <w:spacing w:line="360" w:lineRule="auto"/>
        <w:ind w:firstLine="630" w:firstLineChars="300"/>
        <w:rPr>
          <w:rFonts w:ascii="宋体" w:hAnsi="宋体"/>
          <w:szCs w:val="21"/>
        </w:rPr>
      </w:pPr>
      <w:r>
        <w:rPr>
          <w:rFonts w:hint="eastAsia" w:ascii="宋体" w:hAnsi="宋体"/>
          <w:szCs w:val="21"/>
        </w:rPr>
        <w:t>2）为了系统能够安全稳定的运行，整个系统具有如下的安全保护措施：</w:t>
      </w:r>
    </w:p>
    <w:p>
      <w:pPr>
        <w:spacing w:line="360" w:lineRule="auto"/>
        <w:ind w:left="239" w:leftChars="114" w:firstLine="420" w:firstLineChars="200"/>
        <w:rPr>
          <w:rFonts w:ascii="宋体" w:hAnsi="宋体"/>
          <w:szCs w:val="21"/>
        </w:rPr>
      </w:pPr>
      <w:r>
        <w:rPr>
          <w:rFonts w:hint="eastAsia" w:ascii="宋体" w:hAnsi="宋体"/>
          <w:szCs w:val="21"/>
        </w:rPr>
        <w:t>3）所有的操作员能根据其需要而被赋予某些权限，这些权限规定了每个操作员各自的业务活动范围，如用户名、口令字、操作权及操作范围等特性。</w:t>
      </w:r>
    </w:p>
    <w:p>
      <w:pPr>
        <w:spacing w:line="360" w:lineRule="auto"/>
        <w:ind w:left="239" w:leftChars="114" w:firstLine="420" w:firstLineChars="200"/>
        <w:rPr>
          <w:rFonts w:ascii="宋体" w:hAnsi="宋体"/>
          <w:szCs w:val="21"/>
        </w:rPr>
      </w:pPr>
      <w:r>
        <w:rPr>
          <w:rFonts w:hint="eastAsia" w:ascii="宋体" w:hAnsi="宋体"/>
          <w:szCs w:val="21"/>
        </w:rPr>
        <w:t>4）操作员只有输入正确的密码，才能进入或退出系统，保证了系统的安全性。系统自动记录进入系统的人员、时间。进入系统后，通过划分不同的权限，限制操作员从只可调出画面，到可修改、维护数据库及进行各项操作。</w:t>
      </w:r>
    </w:p>
    <w:p>
      <w:pPr>
        <w:spacing w:line="360" w:lineRule="auto"/>
        <w:ind w:left="239" w:leftChars="114" w:firstLine="420" w:firstLineChars="200"/>
        <w:rPr>
          <w:rFonts w:ascii="宋体" w:hAnsi="宋体"/>
          <w:szCs w:val="21"/>
        </w:rPr>
      </w:pPr>
      <w:r>
        <w:rPr>
          <w:rFonts w:hint="eastAsia" w:ascii="宋体" w:hAnsi="宋体"/>
          <w:szCs w:val="21"/>
        </w:rPr>
        <w:t>5）在执行遥控操作时进行口令字校验，以确保无关人员绝对不能进行遥控操作，并提供遥控监护人功能供用户选择。对于操作人员的所有重要操作，系统按顺序在操作记录日志中给予记录。</w:t>
      </w:r>
    </w:p>
    <w:p>
      <w:pPr>
        <w:spacing w:line="360" w:lineRule="auto"/>
        <w:rPr>
          <w:rFonts w:ascii="宋体" w:hAnsi="宋体"/>
          <w:szCs w:val="21"/>
        </w:rPr>
      </w:pPr>
      <w:r>
        <w:rPr>
          <w:rFonts w:hint="eastAsia" w:ascii="宋体" w:hAnsi="宋体"/>
          <w:szCs w:val="21"/>
        </w:rPr>
        <w:t>6.3.12 维护软件功能</w:t>
      </w:r>
    </w:p>
    <w:p>
      <w:pPr>
        <w:spacing w:line="360" w:lineRule="auto"/>
        <w:ind w:firstLine="600"/>
        <w:rPr>
          <w:rFonts w:ascii="宋体" w:hAnsi="宋体"/>
          <w:szCs w:val="21"/>
        </w:rPr>
      </w:pPr>
      <w:r>
        <w:rPr>
          <w:rFonts w:hint="eastAsia" w:ascii="宋体" w:hAnsi="宋体"/>
          <w:szCs w:val="21"/>
        </w:rPr>
        <w:t>设有应用软件工具库，包含完整的、专门的全汉化Windows 7界面的调试和分析软件，可对各种保护测控装置单独调试分析，对装置动作过程进行全息再现，并对录波数据进行分析。便于现场人员使用。</w:t>
      </w:r>
    </w:p>
    <w:p>
      <w:pPr>
        <w:spacing w:line="360" w:lineRule="auto"/>
        <w:rPr>
          <w:rFonts w:ascii="宋体" w:hAnsi="宋体"/>
          <w:szCs w:val="21"/>
        </w:rPr>
      </w:pPr>
      <w:r>
        <w:rPr>
          <w:rFonts w:hint="eastAsia" w:ascii="宋体" w:hAnsi="宋体"/>
          <w:szCs w:val="21"/>
        </w:rPr>
        <w:t>6.3.13 通信接口软件</w:t>
      </w:r>
    </w:p>
    <w:p>
      <w:pPr>
        <w:spacing w:line="360" w:lineRule="auto"/>
        <w:ind w:firstLine="600"/>
        <w:rPr>
          <w:rFonts w:ascii="宋体" w:hAnsi="宋体"/>
          <w:szCs w:val="21"/>
        </w:rPr>
      </w:pPr>
      <w:r>
        <w:rPr>
          <w:rFonts w:hint="eastAsia" w:ascii="宋体" w:hAnsi="宋体"/>
          <w:szCs w:val="21"/>
        </w:rPr>
        <w:t>综合自动化系统有较多的通信接口驱动软件，主要是：</w:t>
      </w:r>
    </w:p>
    <w:p>
      <w:pPr>
        <w:spacing w:line="360" w:lineRule="auto"/>
        <w:ind w:firstLine="600"/>
        <w:rPr>
          <w:rFonts w:ascii="宋体" w:hAnsi="宋体"/>
          <w:szCs w:val="21"/>
        </w:rPr>
      </w:pPr>
      <w:r>
        <w:rPr>
          <w:rFonts w:hint="eastAsia" w:ascii="宋体" w:hAnsi="宋体"/>
          <w:szCs w:val="21"/>
        </w:rPr>
        <w:t>具备广播式通讯协议（OPC）接口软件；</w:t>
      </w:r>
    </w:p>
    <w:p>
      <w:pPr>
        <w:spacing w:line="360" w:lineRule="auto"/>
        <w:ind w:firstLine="600"/>
        <w:rPr>
          <w:rFonts w:ascii="宋体" w:hAnsi="宋体"/>
          <w:szCs w:val="21"/>
        </w:rPr>
      </w:pPr>
      <w:r>
        <w:rPr>
          <w:rFonts w:hint="eastAsia" w:ascii="宋体" w:hAnsi="宋体"/>
          <w:szCs w:val="21"/>
        </w:rPr>
        <w:t>与微机保护装置的通信接口软件；</w:t>
      </w:r>
    </w:p>
    <w:p>
      <w:pPr>
        <w:spacing w:line="360" w:lineRule="auto"/>
        <w:ind w:firstLine="600"/>
        <w:rPr>
          <w:rFonts w:ascii="宋体" w:hAnsi="宋体"/>
          <w:szCs w:val="21"/>
        </w:rPr>
      </w:pPr>
      <w:r>
        <w:rPr>
          <w:rFonts w:hint="eastAsia" w:ascii="宋体" w:hAnsi="宋体"/>
          <w:szCs w:val="21"/>
        </w:rPr>
        <w:t>与各级调度中心的通信接口软件；</w:t>
      </w:r>
    </w:p>
    <w:p>
      <w:pPr>
        <w:spacing w:line="360" w:lineRule="auto"/>
        <w:ind w:firstLine="600"/>
        <w:rPr>
          <w:rFonts w:ascii="宋体" w:hAnsi="宋体"/>
          <w:szCs w:val="21"/>
        </w:rPr>
      </w:pPr>
      <w:r>
        <w:rPr>
          <w:rFonts w:hint="eastAsia" w:ascii="宋体" w:hAnsi="宋体"/>
          <w:szCs w:val="21"/>
        </w:rPr>
        <w:t>与电能量装置的通信接口软件；</w:t>
      </w:r>
    </w:p>
    <w:p>
      <w:pPr>
        <w:spacing w:line="360" w:lineRule="auto"/>
        <w:ind w:firstLine="600"/>
        <w:rPr>
          <w:rFonts w:ascii="宋体" w:hAnsi="宋体"/>
          <w:szCs w:val="21"/>
        </w:rPr>
      </w:pPr>
      <w:r>
        <w:rPr>
          <w:rFonts w:hint="eastAsia" w:ascii="宋体" w:hAnsi="宋体"/>
          <w:szCs w:val="21"/>
        </w:rPr>
        <w:t>与模拟屏的通信接口软件；</w:t>
      </w:r>
    </w:p>
    <w:p>
      <w:pPr>
        <w:spacing w:line="360" w:lineRule="auto"/>
        <w:ind w:firstLine="600"/>
        <w:rPr>
          <w:rFonts w:ascii="宋体" w:hAnsi="宋体"/>
          <w:szCs w:val="21"/>
        </w:rPr>
      </w:pPr>
      <w:r>
        <w:rPr>
          <w:rFonts w:hint="eastAsia" w:ascii="宋体" w:hAnsi="宋体"/>
          <w:szCs w:val="21"/>
        </w:rPr>
        <w:t>与火灾报警及消防系统的通信接口软件；</w:t>
      </w:r>
    </w:p>
    <w:p>
      <w:pPr>
        <w:spacing w:line="360" w:lineRule="auto"/>
        <w:ind w:firstLine="600"/>
        <w:rPr>
          <w:rFonts w:ascii="宋体" w:hAnsi="宋体"/>
          <w:szCs w:val="21"/>
        </w:rPr>
      </w:pPr>
      <w:r>
        <w:rPr>
          <w:rFonts w:hint="eastAsia" w:ascii="宋体" w:hAnsi="宋体"/>
          <w:szCs w:val="21"/>
        </w:rPr>
        <w:t>与微机防误操作闭锁装置的通信接口软件；</w:t>
      </w:r>
    </w:p>
    <w:p>
      <w:pPr>
        <w:spacing w:line="360" w:lineRule="auto"/>
        <w:ind w:firstLine="600"/>
        <w:rPr>
          <w:rFonts w:ascii="宋体" w:hAnsi="宋体"/>
          <w:szCs w:val="21"/>
        </w:rPr>
      </w:pPr>
      <w:r>
        <w:rPr>
          <w:rFonts w:hint="eastAsia" w:ascii="宋体" w:hAnsi="宋体"/>
          <w:szCs w:val="21"/>
        </w:rPr>
        <w:t>与电力数据网通信接口软件；</w:t>
      </w:r>
    </w:p>
    <w:p>
      <w:pPr>
        <w:spacing w:line="360" w:lineRule="auto"/>
        <w:ind w:firstLine="600"/>
        <w:rPr>
          <w:rFonts w:ascii="宋体" w:hAnsi="宋体"/>
          <w:szCs w:val="21"/>
        </w:rPr>
      </w:pPr>
      <w:r>
        <w:rPr>
          <w:rFonts w:hint="eastAsia" w:ascii="宋体" w:hAnsi="宋体"/>
          <w:szCs w:val="21"/>
        </w:rPr>
        <w:t>小电流接地选线装置的通信接口软件；</w:t>
      </w:r>
    </w:p>
    <w:p>
      <w:pPr>
        <w:spacing w:line="360" w:lineRule="auto"/>
        <w:ind w:firstLine="420" w:firstLineChars="200"/>
        <w:rPr>
          <w:rFonts w:ascii="宋体" w:hAnsi="宋体"/>
          <w:szCs w:val="21"/>
        </w:rPr>
      </w:pPr>
      <w:r>
        <w:rPr>
          <w:rFonts w:hint="eastAsia" w:ascii="宋体" w:hAnsi="宋体"/>
          <w:szCs w:val="21"/>
        </w:rPr>
        <w:t>综合自动化系统与智能设备的通信规约应执行国标、行标及IEC标准。供货方应完成各种通信规约的转换，使综合自动化系统正确接收和发送数据。</w:t>
      </w:r>
    </w:p>
    <w:p>
      <w:pPr>
        <w:spacing w:line="360" w:lineRule="auto"/>
        <w:rPr>
          <w:rFonts w:ascii="宋体" w:hAnsi="宋体"/>
          <w:szCs w:val="21"/>
        </w:rPr>
      </w:pPr>
      <w:r>
        <w:rPr>
          <w:rFonts w:hint="eastAsia" w:ascii="宋体" w:hAnsi="宋体"/>
          <w:szCs w:val="21"/>
        </w:rPr>
        <w:t>6.4本次提出的是对自动化系统的基本要求，投标方可以在图纸设计相关要求、招标文件技术基本要求的框架下，构建自动化系统，对本相关技术要求进行细化、完善、补充和修改，使之成为投标方认为的最佳方案。</w:t>
      </w:r>
    </w:p>
    <w:p>
      <w:pPr>
        <w:spacing w:line="360" w:lineRule="auto"/>
        <w:rPr>
          <w:rFonts w:ascii="宋体" w:hAnsi="宋体"/>
          <w:szCs w:val="21"/>
        </w:rPr>
      </w:pPr>
      <w:r>
        <w:rPr>
          <w:rFonts w:hint="eastAsia" w:ascii="宋体" w:hAnsi="宋体"/>
          <w:szCs w:val="21"/>
        </w:rPr>
        <w:t>6.5监控系统应该采用全分布开放式结构，具有可靠、安全、经济、适用、技术先进和便于扩充等特点，整套系统的生产、安装、试验、运行均应满足国内、国际标准。</w:t>
      </w:r>
    </w:p>
    <w:p>
      <w:pPr>
        <w:spacing w:line="360" w:lineRule="auto"/>
        <w:rPr>
          <w:rFonts w:ascii="宋体" w:hAnsi="宋体"/>
          <w:szCs w:val="21"/>
        </w:rPr>
      </w:pPr>
      <w:r>
        <w:rPr>
          <w:rFonts w:hint="eastAsia" w:ascii="宋体" w:hAnsi="宋体"/>
          <w:szCs w:val="21"/>
        </w:rPr>
        <w:t>6.6监控系统应该适应现场环境的要求，并且满足运行人员的操作习惯。该系统应以手动优先，下层优先的方式或招标方（甲方）要求的其他工作方式设置必要的硬件和软件，使运行操作人员在各控制层之间、计算机控制与简化的常规控制设备之间能方便地选择对设备的控制权，对无权控制的控制设备进行闭锁。</w:t>
      </w:r>
    </w:p>
    <w:p>
      <w:pPr>
        <w:spacing w:line="360" w:lineRule="auto"/>
        <w:rPr>
          <w:rFonts w:ascii="宋体" w:hAnsi="宋体"/>
          <w:szCs w:val="21"/>
        </w:rPr>
      </w:pPr>
      <w:r>
        <w:rPr>
          <w:rFonts w:hint="eastAsia" w:ascii="宋体" w:hAnsi="宋体"/>
          <w:szCs w:val="21"/>
        </w:rPr>
        <w:t>6.7</w:t>
      </w:r>
      <w:r>
        <w:rPr>
          <w:rFonts w:hint="eastAsia" w:ascii="宋体" w:hAnsi="宋体" w:cs="宋体"/>
          <w:szCs w:val="21"/>
        </w:rPr>
        <w:t>变配电监控系统主要设备选型要求：</w:t>
      </w:r>
    </w:p>
    <w:tbl>
      <w:tblPr>
        <w:tblStyle w:val="45"/>
        <w:tblW w:w="8883" w:type="dxa"/>
        <w:tblInd w:w="0" w:type="dxa"/>
        <w:tblLayout w:type="fixed"/>
        <w:tblCellMar>
          <w:top w:w="0" w:type="dxa"/>
          <w:left w:w="108" w:type="dxa"/>
          <w:bottom w:w="0" w:type="dxa"/>
          <w:right w:w="108" w:type="dxa"/>
        </w:tblCellMar>
      </w:tblPr>
      <w:tblGrid>
        <w:gridCol w:w="700"/>
        <w:gridCol w:w="1535"/>
        <w:gridCol w:w="3578"/>
        <w:gridCol w:w="760"/>
        <w:gridCol w:w="2310"/>
      </w:tblGrid>
      <w:tr>
        <w:tblPrEx>
          <w:tblCellMar>
            <w:top w:w="0" w:type="dxa"/>
            <w:left w:w="108" w:type="dxa"/>
            <w:bottom w:w="0" w:type="dxa"/>
            <w:right w:w="108" w:type="dxa"/>
          </w:tblCellMar>
        </w:tblPrEx>
        <w:trPr>
          <w:trHeight w:val="622" w:hRule="atLeast"/>
        </w:trPr>
        <w:tc>
          <w:tcPr>
            <w:tcW w:w="700" w:type="dxa"/>
            <w:tcBorders>
              <w:top w:val="single" w:color="auto" w:sz="4" w:space="0"/>
              <w:left w:val="single" w:color="auto" w:sz="4" w:space="0"/>
              <w:bottom w:val="single" w:color="auto" w:sz="4" w:space="0"/>
              <w:right w:val="single" w:color="auto" w:sz="4" w:space="0"/>
            </w:tcBorders>
            <w:noWrap w:val="0"/>
            <w:vAlign w:val="center"/>
          </w:tcPr>
          <w:p>
            <w:pPr>
              <w:pStyle w:val="5"/>
            </w:pPr>
            <w:r>
              <w:rPr>
                <w:rFonts w:hint="eastAsia"/>
              </w:rPr>
              <w:t>序号</w:t>
            </w:r>
          </w:p>
        </w:tc>
        <w:tc>
          <w:tcPr>
            <w:tcW w:w="1535" w:type="dxa"/>
            <w:tcBorders>
              <w:top w:val="single" w:color="auto" w:sz="4" w:space="0"/>
              <w:left w:val="nil"/>
              <w:bottom w:val="single" w:color="auto" w:sz="4" w:space="0"/>
              <w:right w:val="single" w:color="auto" w:sz="4" w:space="0"/>
            </w:tcBorders>
            <w:noWrap w:val="0"/>
            <w:vAlign w:val="center"/>
          </w:tcPr>
          <w:p>
            <w:pPr>
              <w:pStyle w:val="5"/>
            </w:pPr>
            <w:r>
              <w:rPr>
                <w:rFonts w:hint="eastAsia"/>
              </w:rPr>
              <w:t>设备名称</w:t>
            </w:r>
          </w:p>
        </w:tc>
        <w:tc>
          <w:tcPr>
            <w:tcW w:w="3578" w:type="dxa"/>
            <w:tcBorders>
              <w:top w:val="single" w:color="auto" w:sz="4" w:space="0"/>
              <w:left w:val="nil"/>
              <w:bottom w:val="single" w:color="auto" w:sz="4" w:space="0"/>
              <w:right w:val="single" w:color="auto" w:sz="4" w:space="0"/>
            </w:tcBorders>
            <w:noWrap w:val="0"/>
            <w:vAlign w:val="center"/>
          </w:tcPr>
          <w:p>
            <w:pPr>
              <w:pStyle w:val="5"/>
            </w:pPr>
            <w:r>
              <w:rPr>
                <w:rFonts w:hint="eastAsia"/>
              </w:rPr>
              <w:t>基本技术参数要求</w:t>
            </w:r>
          </w:p>
        </w:tc>
        <w:tc>
          <w:tcPr>
            <w:tcW w:w="760" w:type="dxa"/>
            <w:tcBorders>
              <w:top w:val="single" w:color="auto" w:sz="4" w:space="0"/>
              <w:left w:val="nil"/>
              <w:bottom w:val="single" w:color="auto" w:sz="4" w:space="0"/>
              <w:right w:val="single" w:color="auto" w:sz="4" w:space="0"/>
            </w:tcBorders>
            <w:noWrap w:val="0"/>
            <w:vAlign w:val="center"/>
          </w:tcPr>
          <w:p>
            <w:pPr>
              <w:pStyle w:val="5"/>
            </w:pPr>
            <w:r>
              <w:rPr>
                <w:rFonts w:hint="eastAsia"/>
              </w:rPr>
              <w:t>数量</w:t>
            </w:r>
          </w:p>
        </w:tc>
        <w:tc>
          <w:tcPr>
            <w:tcW w:w="2310" w:type="dxa"/>
            <w:tcBorders>
              <w:top w:val="single" w:color="auto" w:sz="4" w:space="0"/>
              <w:left w:val="nil"/>
              <w:bottom w:val="single" w:color="auto" w:sz="4" w:space="0"/>
              <w:right w:val="single" w:color="auto" w:sz="4" w:space="0"/>
            </w:tcBorders>
            <w:noWrap w:val="0"/>
            <w:vAlign w:val="center"/>
          </w:tcPr>
          <w:p>
            <w:pPr>
              <w:pStyle w:val="5"/>
            </w:pPr>
            <w:r>
              <w:rPr>
                <w:rFonts w:hint="eastAsia"/>
              </w:rPr>
              <w:t>品牌</w:t>
            </w:r>
          </w:p>
        </w:tc>
      </w:tr>
      <w:tr>
        <w:tblPrEx>
          <w:tblCellMar>
            <w:top w:w="0" w:type="dxa"/>
            <w:left w:w="108" w:type="dxa"/>
            <w:bottom w:w="0" w:type="dxa"/>
            <w:right w:w="108" w:type="dxa"/>
          </w:tblCellMar>
        </w:tblPrEx>
        <w:trPr>
          <w:trHeight w:val="1383" w:hRule="atLeast"/>
        </w:trPr>
        <w:tc>
          <w:tcPr>
            <w:tcW w:w="700" w:type="dxa"/>
            <w:tcBorders>
              <w:top w:val="nil"/>
              <w:left w:val="single" w:color="auto" w:sz="4" w:space="0"/>
              <w:bottom w:val="single" w:color="auto" w:sz="4" w:space="0"/>
              <w:right w:val="single" w:color="auto" w:sz="4" w:space="0"/>
            </w:tcBorders>
            <w:noWrap w:val="0"/>
            <w:vAlign w:val="center"/>
          </w:tcPr>
          <w:p>
            <w:pPr>
              <w:pStyle w:val="5"/>
            </w:pPr>
            <w:r>
              <w:rPr>
                <w:rFonts w:hint="eastAsia"/>
              </w:rPr>
              <w:t>1</w:t>
            </w:r>
          </w:p>
        </w:tc>
        <w:tc>
          <w:tcPr>
            <w:tcW w:w="1535" w:type="dxa"/>
            <w:tcBorders>
              <w:top w:val="nil"/>
              <w:left w:val="nil"/>
              <w:bottom w:val="single" w:color="auto" w:sz="4" w:space="0"/>
              <w:right w:val="single" w:color="auto" w:sz="4" w:space="0"/>
            </w:tcBorders>
            <w:noWrap w:val="0"/>
            <w:vAlign w:val="center"/>
          </w:tcPr>
          <w:p>
            <w:pPr>
              <w:pStyle w:val="5"/>
            </w:pPr>
            <w:r>
              <w:rPr>
                <w:rFonts w:hint="eastAsia"/>
              </w:rPr>
              <w:t>监控主机</w:t>
            </w:r>
          </w:p>
        </w:tc>
        <w:tc>
          <w:tcPr>
            <w:tcW w:w="3578" w:type="dxa"/>
            <w:tcBorders>
              <w:top w:val="nil"/>
              <w:left w:val="nil"/>
              <w:bottom w:val="single" w:color="auto" w:sz="4" w:space="0"/>
              <w:right w:val="single" w:color="auto" w:sz="4" w:space="0"/>
            </w:tcBorders>
            <w:noWrap w:val="0"/>
            <w:vAlign w:val="center"/>
          </w:tcPr>
          <w:p>
            <w:pPr>
              <w:pStyle w:val="5"/>
            </w:pPr>
          </w:p>
        </w:tc>
        <w:tc>
          <w:tcPr>
            <w:tcW w:w="760" w:type="dxa"/>
            <w:tcBorders>
              <w:top w:val="nil"/>
              <w:left w:val="nil"/>
              <w:bottom w:val="single" w:color="auto" w:sz="4" w:space="0"/>
              <w:right w:val="single" w:color="auto" w:sz="4" w:space="0"/>
            </w:tcBorders>
            <w:noWrap w:val="0"/>
            <w:vAlign w:val="center"/>
          </w:tcPr>
          <w:p>
            <w:pPr>
              <w:pStyle w:val="5"/>
            </w:pPr>
            <w:r>
              <w:rPr>
                <w:rFonts w:hint="eastAsia"/>
              </w:rPr>
              <w:t>1台</w:t>
            </w:r>
          </w:p>
        </w:tc>
        <w:tc>
          <w:tcPr>
            <w:tcW w:w="2310" w:type="dxa"/>
            <w:tcBorders>
              <w:top w:val="nil"/>
              <w:left w:val="nil"/>
              <w:bottom w:val="single" w:color="auto" w:sz="4" w:space="0"/>
              <w:right w:val="single" w:color="auto" w:sz="4" w:space="0"/>
            </w:tcBorders>
            <w:noWrap w:val="0"/>
            <w:vAlign w:val="center"/>
          </w:tcPr>
          <w:p>
            <w:pPr>
              <w:pStyle w:val="5"/>
            </w:pPr>
            <w:r>
              <w:rPr>
                <w:rFonts w:hint="eastAsia"/>
              </w:rPr>
              <w:t>联想/DELL/HP同等或以上</w:t>
            </w:r>
          </w:p>
        </w:tc>
      </w:tr>
      <w:tr>
        <w:tblPrEx>
          <w:tblCellMar>
            <w:top w:w="0" w:type="dxa"/>
            <w:left w:w="108" w:type="dxa"/>
            <w:bottom w:w="0" w:type="dxa"/>
            <w:right w:w="108" w:type="dxa"/>
          </w:tblCellMar>
        </w:tblPrEx>
        <w:trPr>
          <w:trHeight w:val="577" w:hRule="atLeast"/>
        </w:trPr>
        <w:tc>
          <w:tcPr>
            <w:tcW w:w="700" w:type="dxa"/>
            <w:tcBorders>
              <w:top w:val="nil"/>
              <w:left w:val="single" w:color="auto" w:sz="4" w:space="0"/>
              <w:bottom w:val="single" w:color="auto" w:sz="4" w:space="0"/>
              <w:right w:val="single" w:color="auto" w:sz="4" w:space="0"/>
            </w:tcBorders>
            <w:noWrap w:val="0"/>
            <w:vAlign w:val="center"/>
          </w:tcPr>
          <w:p>
            <w:pPr>
              <w:pStyle w:val="5"/>
            </w:pPr>
            <w:r>
              <w:rPr>
                <w:rFonts w:hint="eastAsia"/>
              </w:rPr>
              <w:t>2</w:t>
            </w:r>
          </w:p>
        </w:tc>
        <w:tc>
          <w:tcPr>
            <w:tcW w:w="1535" w:type="dxa"/>
            <w:tcBorders>
              <w:top w:val="nil"/>
              <w:left w:val="nil"/>
              <w:bottom w:val="single" w:color="auto" w:sz="4" w:space="0"/>
              <w:right w:val="single" w:color="auto" w:sz="4" w:space="0"/>
            </w:tcBorders>
            <w:noWrap w:val="0"/>
            <w:vAlign w:val="center"/>
          </w:tcPr>
          <w:p>
            <w:pPr>
              <w:pStyle w:val="5"/>
            </w:pPr>
            <w:r>
              <w:rPr>
                <w:rFonts w:hint="eastAsia"/>
              </w:rPr>
              <w:t>操作员站</w:t>
            </w:r>
          </w:p>
        </w:tc>
        <w:tc>
          <w:tcPr>
            <w:tcW w:w="3578" w:type="dxa"/>
            <w:tcBorders>
              <w:top w:val="nil"/>
              <w:left w:val="nil"/>
              <w:bottom w:val="single" w:color="auto" w:sz="4" w:space="0"/>
              <w:right w:val="single" w:color="auto" w:sz="4" w:space="0"/>
            </w:tcBorders>
            <w:noWrap w:val="0"/>
            <w:vAlign w:val="center"/>
          </w:tcPr>
          <w:p>
            <w:pPr>
              <w:pStyle w:val="5"/>
            </w:pPr>
          </w:p>
        </w:tc>
        <w:tc>
          <w:tcPr>
            <w:tcW w:w="760" w:type="dxa"/>
            <w:tcBorders>
              <w:top w:val="nil"/>
              <w:left w:val="nil"/>
              <w:bottom w:val="single" w:color="auto" w:sz="4" w:space="0"/>
              <w:right w:val="single" w:color="auto" w:sz="4" w:space="0"/>
            </w:tcBorders>
            <w:noWrap w:val="0"/>
            <w:vAlign w:val="center"/>
          </w:tcPr>
          <w:p>
            <w:pPr>
              <w:pStyle w:val="5"/>
            </w:pPr>
            <w:r>
              <w:rPr>
                <w:rFonts w:hint="eastAsia"/>
              </w:rPr>
              <w:t>1台</w:t>
            </w:r>
          </w:p>
        </w:tc>
        <w:tc>
          <w:tcPr>
            <w:tcW w:w="2310" w:type="dxa"/>
            <w:tcBorders>
              <w:top w:val="nil"/>
              <w:left w:val="nil"/>
              <w:bottom w:val="single" w:color="auto" w:sz="4" w:space="0"/>
              <w:right w:val="single" w:color="auto" w:sz="4" w:space="0"/>
            </w:tcBorders>
            <w:noWrap w:val="0"/>
            <w:vAlign w:val="center"/>
          </w:tcPr>
          <w:p>
            <w:pPr>
              <w:pStyle w:val="5"/>
            </w:pPr>
            <w:r>
              <w:rPr>
                <w:rFonts w:hint="eastAsia"/>
              </w:rPr>
              <w:t>DELL/HP /联想同等或以上</w:t>
            </w:r>
          </w:p>
        </w:tc>
      </w:tr>
      <w:tr>
        <w:tblPrEx>
          <w:tblCellMar>
            <w:top w:w="0" w:type="dxa"/>
            <w:left w:w="108" w:type="dxa"/>
            <w:bottom w:w="0" w:type="dxa"/>
            <w:right w:w="108" w:type="dxa"/>
          </w:tblCellMar>
        </w:tblPrEx>
        <w:trPr>
          <w:trHeight w:val="607" w:hRule="atLeast"/>
        </w:trPr>
        <w:tc>
          <w:tcPr>
            <w:tcW w:w="700" w:type="dxa"/>
            <w:tcBorders>
              <w:top w:val="nil"/>
              <w:left w:val="single" w:color="auto" w:sz="4" w:space="0"/>
              <w:bottom w:val="single" w:color="auto" w:sz="4" w:space="0"/>
              <w:right w:val="single" w:color="auto" w:sz="4" w:space="0"/>
            </w:tcBorders>
            <w:noWrap w:val="0"/>
            <w:vAlign w:val="center"/>
          </w:tcPr>
          <w:p>
            <w:pPr>
              <w:pStyle w:val="5"/>
            </w:pPr>
            <w:r>
              <w:rPr>
                <w:rFonts w:hint="eastAsia"/>
              </w:rPr>
              <w:t>3</w:t>
            </w:r>
          </w:p>
        </w:tc>
        <w:tc>
          <w:tcPr>
            <w:tcW w:w="1535" w:type="dxa"/>
            <w:tcBorders>
              <w:top w:val="nil"/>
              <w:left w:val="nil"/>
              <w:bottom w:val="single" w:color="auto" w:sz="4" w:space="0"/>
              <w:right w:val="single" w:color="auto" w:sz="4" w:space="0"/>
            </w:tcBorders>
            <w:noWrap w:val="0"/>
            <w:vAlign w:val="center"/>
          </w:tcPr>
          <w:p>
            <w:pPr>
              <w:pStyle w:val="5"/>
            </w:pPr>
            <w:r>
              <w:rPr>
                <w:rFonts w:hint="eastAsia"/>
              </w:rPr>
              <w:t>显示器</w:t>
            </w:r>
          </w:p>
        </w:tc>
        <w:tc>
          <w:tcPr>
            <w:tcW w:w="3578" w:type="dxa"/>
            <w:tcBorders>
              <w:top w:val="nil"/>
              <w:left w:val="nil"/>
              <w:bottom w:val="single" w:color="auto" w:sz="4" w:space="0"/>
              <w:right w:val="single" w:color="auto" w:sz="4" w:space="0"/>
            </w:tcBorders>
            <w:noWrap w:val="0"/>
            <w:vAlign w:val="center"/>
          </w:tcPr>
          <w:p>
            <w:pPr>
              <w:pStyle w:val="5"/>
            </w:pPr>
            <w:r>
              <w:rPr>
                <w:rFonts w:hint="eastAsia"/>
              </w:rPr>
              <w:t>液晶显示器23寸</w:t>
            </w:r>
          </w:p>
        </w:tc>
        <w:tc>
          <w:tcPr>
            <w:tcW w:w="760" w:type="dxa"/>
            <w:tcBorders>
              <w:top w:val="nil"/>
              <w:left w:val="nil"/>
              <w:bottom w:val="single" w:color="auto" w:sz="4" w:space="0"/>
              <w:right w:val="single" w:color="auto" w:sz="4" w:space="0"/>
            </w:tcBorders>
            <w:noWrap w:val="0"/>
            <w:vAlign w:val="center"/>
          </w:tcPr>
          <w:p>
            <w:pPr>
              <w:pStyle w:val="5"/>
            </w:pPr>
            <w:r>
              <w:rPr>
                <w:rFonts w:hint="eastAsia"/>
                <w:lang w:val="en-US" w:eastAsia="zh-CN"/>
              </w:rPr>
              <w:t>1</w:t>
            </w:r>
            <w:r>
              <w:rPr>
                <w:rFonts w:hint="eastAsia"/>
              </w:rPr>
              <w:t>台</w:t>
            </w:r>
          </w:p>
        </w:tc>
        <w:tc>
          <w:tcPr>
            <w:tcW w:w="2310" w:type="dxa"/>
            <w:tcBorders>
              <w:top w:val="nil"/>
              <w:left w:val="nil"/>
              <w:bottom w:val="single" w:color="auto" w:sz="4" w:space="0"/>
              <w:right w:val="single" w:color="auto" w:sz="4" w:space="0"/>
            </w:tcBorders>
            <w:noWrap w:val="0"/>
            <w:vAlign w:val="center"/>
          </w:tcPr>
          <w:p>
            <w:pPr>
              <w:pStyle w:val="5"/>
            </w:pPr>
            <w:r>
              <w:rPr>
                <w:rFonts w:hint="eastAsia"/>
              </w:rPr>
              <w:t>DELL/HP/联想同等或以上</w:t>
            </w:r>
          </w:p>
        </w:tc>
      </w:tr>
      <w:tr>
        <w:tblPrEx>
          <w:tblCellMar>
            <w:top w:w="0" w:type="dxa"/>
            <w:left w:w="108" w:type="dxa"/>
            <w:bottom w:w="0" w:type="dxa"/>
            <w:right w:w="108" w:type="dxa"/>
          </w:tblCellMar>
        </w:tblPrEx>
        <w:trPr>
          <w:trHeight w:val="530" w:hRule="atLeast"/>
        </w:trPr>
        <w:tc>
          <w:tcPr>
            <w:tcW w:w="700" w:type="dxa"/>
            <w:tcBorders>
              <w:top w:val="nil"/>
              <w:left w:val="single" w:color="auto" w:sz="4" w:space="0"/>
              <w:bottom w:val="single" w:color="auto" w:sz="4" w:space="0"/>
              <w:right w:val="single" w:color="auto" w:sz="4" w:space="0"/>
            </w:tcBorders>
            <w:noWrap w:val="0"/>
            <w:vAlign w:val="center"/>
          </w:tcPr>
          <w:p>
            <w:pPr>
              <w:pStyle w:val="5"/>
            </w:pPr>
            <w:r>
              <w:rPr>
                <w:rFonts w:hint="eastAsia"/>
              </w:rPr>
              <w:t>4</w:t>
            </w:r>
          </w:p>
        </w:tc>
        <w:tc>
          <w:tcPr>
            <w:tcW w:w="1535" w:type="dxa"/>
            <w:tcBorders>
              <w:top w:val="nil"/>
              <w:left w:val="nil"/>
              <w:bottom w:val="single" w:color="auto" w:sz="4" w:space="0"/>
              <w:right w:val="single" w:color="auto" w:sz="4" w:space="0"/>
            </w:tcBorders>
            <w:noWrap w:val="0"/>
            <w:vAlign w:val="center"/>
          </w:tcPr>
          <w:p>
            <w:pPr>
              <w:pStyle w:val="5"/>
            </w:pPr>
            <w:r>
              <w:rPr>
                <w:rFonts w:hint="eastAsia"/>
              </w:rPr>
              <w:t>通讯服务器</w:t>
            </w:r>
          </w:p>
        </w:tc>
        <w:tc>
          <w:tcPr>
            <w:tcW w:w="3578" w:type="dxa"/>
            <w:tcBorders>
              <w:top w:val="nil"/>
              <w:left w:val="nil"/>
              <w:bottom w:val="single" w:color="auto" w:sz="4" w:space="0"/>
              <w:right w:val="single" w:color="auto" w:sz="4" w:space="0"/>
            </w:tcBorders>
            <w:noWrap w:val="0"/>
            <w:vAlign w:val="center"/>
          </w:tcPr>
          <w:p>
            <w:pPr>
              <w:pStyle w:val="5"/>
            </w:pPr>
            <w:r>
              <w:rPr>
                <w:rFonts w:hint="eastAsia"/>
              </w:rPr>
              <w:t xml:space="preserve"> 含相应软件</w:t>
            </w:r>
          </w:p>
        </w:tc>
        <w:tc>
          <w:tcPr>
            <w:tcW w:w="760" w:type="dxa"/>
            <w:tcBorders>
              <w:top w:val="nil"/>
              <w:left w:val="nil"/>
              <w:bottom w:val="single" w:color="auto" w:sz="4" w:space="0"/>
              <w:right w:val="single" w:color="auto" w:sz="4" w:space="0"/>
            </w:tcBorders>
            <w:noWrap w:val="0"/>
            <w:vAlign w:val="center"/>
          </w:tcPr>
          <w:p>
            <w:pPr>
              <w:pStyle w:val="5"/>
            </w:pPr>
            <w:r>
              <w:rPr>
                <w:rFonts w:hint="eastAsia"/>
                <w:lang w:val="en-US" w:eastAsia="zh-CN"/>
              </w:rPr>
              <w:t>1</w:t>
            </w:r>
            <w:r>
              <w:rPr>
                <w:rFonts w:hint="eastAsia"/>
              </w:rPr>
              <w:t>台</w:t>
            </w:r>
          </w:p>
        </w:tc>
        <w:tc>
          <w:tcPr>
            <w:tcW w:w="2310" w:type="dxa"/>
            <w:tcBorders>
              <w:top w:val="nil"/>
              <w:left w:val="nil"/>
              <w:bottom w:val="single" w:color="auto" w:sz="4" w:space="0"/>
              <w:right w:val="single" w:color="auto" w:sz="4" w:space="0"/>
            </w:tcBorders>
            <w:noWrap w:val="0"/>
            <w:vAlign w:val="center"/>
          </w:tcPr>
          <w:p>
            <w:pPr>
              <w:pStyle w:val="5"/>
            </w:pPr>
            <w:r>
              <w:rPr>
                <w:rFonts w:hint="eastAsia"/>
              </w:rPr>
              <w:t>许继电气股份/上海南自科技/郑州索菱电力</w:t>
            </w:r>
          </w:p>
        </w:tc>
      </w:tr>
      <w:tr>
        <w:tblPrEx>
          <w:tblCellMar>
            <w:top w:w="0" w:type="dxa"/>
            <w:left w:w="108" w:type="dxa"/>
            <w:bottom w:w="0" w:type="dxa"/>
            <w:right w:w="108" w:type="dxa"/>
          </w:tblCellMar>
        </w:tblPrEx>
        <w:trPr>
          <w:trHeight w:val="566" w:hRule="atLeast"/>
        </w:trPr>
        <w:tc>
          <w:tcPr>
            <w:tcW w:w="700" w:type="dxa"/>
            <w:tcBorders>
              <w:top w:val="nil"/>
              <w:left w:val="single" w:color="auto" w:sz="4" w:space="0"/>
              <w:bottom w:val="single" w:color="auto" w:sz="4" w:space="0"/>
              <w:right w:val="single" w:color="auto" w:sz="4" w:space="0"/>
            </w:tcBorders>
            <w:noWrap w:val="0"/>
            <w:vAlign w:val="center"/>
          </w:tcPr>
          <w:p>
            <w:pPr>
              <w:pStyle w:val="5"/>
            </w:pPr>
            <w:r>
              <w:rPr>
                <w:rFonts w:hint="eastAsia"/>
              </w:rPr>
              <w:t>5</w:t>
            </w:r>
          </w:p>
        </w:tc>
        <w:tc>
          <w:tcPr>
            <w:tcW w:w="1535" w:type="dxa"/>
            <w:tcBorders>
              <w:top w:val="nil"/>
              <w:left w:val="nil"/>
              <w:bottom w:val="single" w:color="auto" w:sz="4" w:space="0"/>
              <w:right w:val="single" w:color="auto" w:sz="4" w:space="0"/>
            </w:tcBorders>
            <w:noWrap w:val="0"/>
            <w:vAlign w:val="center"/>
          </w:tcPr>
          <w:p>
            <w:pPr>
              <w:pStyle w:val="5"/>
            </w:pPr>
            <w:r>
              <w:rPr>
                <w:rFonts w:hint="eastAsia"/>
              </w:rPr>
              <w:t>UPS</w:t>
            </w:r>
          </w:p>
        </w:tc>
        <w:tc>
          <w:tcPr>
            <w:tcW w:w="3578" w:type="dxa"/>
            <w:tcBorders>
              <w:top w:val="nil"/>
              <w:left w:val="nil"/>
              <w:bottom w:val="single" w:color="auto" w:sz="4" w:space="0"/>
              <w:right w:val="single" w:color="auto" w:sz="4" w:space="0"/>
            </w:tcBorders>
            <w:noWrap w:val="0"/>
            <w:vAlign w:val="center"/>
          </w:tcPr>
          <w:p>
            <w:pPr>
              <w:pStyle w:val="5"/>
            </w:pPr>
            <w:r>
              <w:rPr>
                <w:rFonts w:hint="eastAsia"/>
              </w:rPr>
              <w:t>2KVA/1小时</w:t>
            </w:r>
          </w:p>
        </w:tc>
        <w:tc>
          <w:tcPr>
            <w:tcW w:w="760" w:type="dxa"/>
            <w:tcBorders>
              <w:top w:val="nil"/>
              <w:left w:val="nil"/>
              <w:bottom w:val="single" w:color="auto" w:sz="4" w:space="0"/>
              <w:right w:val="single" w:color="auto" w:sz="4" w:space="0"/>
            </w:tcBorders>
            <w:noWrap w:val="0"/>
            <w:vAlign w:val="center"/>
          </w:tcPr>
          <w:p>
            <w:pPr>
              <w:pStyle w:val="5"/>
              <w:rPr>
                <w:rFonts w:hint="eastAsia"/>
                <w:lang w:eastAsia="zh-CN"/>
              </w:rPr>
            </w:pPr>
            <w:r>
              <w:rPr>
                <w:rFonts w:hint="eastAsia"/>
                <w:lang w:val="en-US" w:eastAsia="zh-CN"/>
              </w:rPr>
              <w:t>1</w:t>
            </w:r>
          </w:p>
        </w:tc>
        <w:tc>
          <w:tcPr>
            <w:tcW w:w="2310" w:type="dxa"/>
            <w:tcBorders>
              <w:top w:val="nil"/>
              <w:left w:val="nil"/>
              <w:bottom w:val="single" w:color="auto" w:sz="4" w:space="0"/>
              <w:right w:val="single" w:color="auto" w:sz="4" w:space="0"/>
            </w:tcBorders>
            <w:noWrap w:val="0"/>
            <w:vAlign w:val="center"/>
          </w:tcPr>
          <w:p>
            <w:pPr>
              <w:pStyle w:val="5"/>
            </w:pPr>
            <w:r>
              <w:rPr>
                <w:rFonts w:hint="eastAsia"/>
              </w:rPr>
              <w:t>山特/APC /艾默生同等或以上</w:t>
            </w:r>
          </w:p>
        </w:tc>
      </w:tr>
      <w:tr>
        <w:tblPrEx>
          <w:tblCellMar>
            <w:top w:w="0" w:type="dxa"/>
            <w:left w:w="108" w:type="dxa"/>
            <w:bottom w:w="0" w:type="dxa"/>
            <w:right w:w="108" w:type="dxa"/>
          </w:tblCellMar>
        </w:tblPrEx>
        <w:trPr>
          <w:trHeight w:val="1068" w:hRule="atLeast"/>
        </w:trPr>
        <w:tc>
          <w:tcPr>
            <w:tcW w:w="700" w:type="dxa"/>
            <w:tcBorders>
              <w:top w:val="nil"/>
              <w:left w:val="single" w:color="auto" w:sz="4" w:space="0"/>
              <w:bottom w:val="single" w:color="auto" w:sz="4" w:space="0"/>
              <w:right w:val="single" w:color="auto" w:sz="4" w:space="0"/>
            </w:tcBorders>
            <w:noWrap w:val="0"/>
            <w:vAlign w:val="center"/>
          </w:tcPr>
          <w:p>
            <w:pPr>
              <w:pStyle w:val="5"/>
            </w:pPr>
            <w:r>
              <w:rPr>
                <w:rFonts w:hint="eastAsia"/>
              </w:rPr>
              <w:t>6</w:t>
            </w:r>
          </w:p>
        </w:tc>
        <w:tc>
          <w:tcPr>
            <w:tcW w:w="1535" w:type="dxa"/>
            <w:tcBorders>
              <w:top w:val="nil"/>
              <w:left w:val="nil"/>
              <w:bottom w:val="single" w:color="auto" w:sz="4" w:space="0"/>
              <w:right w:val="single" w:color="auto" w:sz="4" w:space="0"/>
            </w:tcBorders>
            <w:noWrap w:val="0"/>
            <w:vAlign w:val="center"/>
          </w:tcPr>
          <w:p>
            <w:pPr>
              <w:pStyle w:val="5"/>
            </w:pPr>
            <w:r>
              <w:rPr>
                <w:rFonts w:hint="eastAsia"/>
              </w:rPr>
              <w:t>单模光纤</w:t>
            </w:r>
          </w:p>
        </w:tc>
        <w:tc>
          <w:tcPr>
            <w:tcW w:w="3578" w:type="dxa"/>
            <w:tcBorders>
              <w:top w:val="nil"/>
              <w:left w:val="nil"/>
              <w:bottom w:val="single" w:color="auto" w:sz="4" w:space="0"/>
              <w:right w:val="single" w:color="auto" w:sz="4" w:space="0"/>
            </w:tcBorders>
            <w:noWrap w:val="0"/>
            <w:vAlign w:val="center"/>
          </w:tcPr>
          <w:p>
            <w:pPr>
              <w:pStyle w:val="5"/>
            </w:pPr>
            <w:r>
              <w:rPr>
                <w:rFonts w:hint="eastAsia"/>
              </w:rPr>
              <w:t>通讯介质选用重铠装单模光纤，4芯。</w:t>
            </w:r>
          </w:p>
        </w:tc>
        <w:tc>
          <w:tcPr>
            <w:tcW w:w="760" w:type="dxa"/>
            <w:tcBorders>
              <w:top w:val="nil"/>
              <w:left w:val="nil"/>
              <w:bottom w:val="single" w:color="auto" w:sz="4" w:space="0"/>
              <w:right w:val="single" w:color="auto" w:sz="4" w:space="0"/>
            </w:tcBorders>
            <w:noWrap w:val="0"/>
            <w:vAlign w:val="center"/>
          </w:tcPr>
          <w:p>
            <w:pPr>
              <w:pStyle w:val="5"/>
            </w:pPr>
          </w:p>
        </w:tc>
        <w:tc>
          <w:tcPr>
            <w:tcW w:w="2310" w:type="dxa"/>
            <w:tcBorders>
              <w:top w:val="nil"/>
              <w:left w:val="nil"/>
              <w:bottom w:val="single" w:color="auto" w:sz="4" w:space="0"/>
              <w:right w:val="single" w:color="auto" w:sz="4" w:space="0"/>
            </w:tcBorders>
            <w:noWrap w:val="0"/>
            <w:vAlign w:val="center"/>
          </w:tcPr>
          <w:p>
            <w:pPr>
              <w:pStyle w:val="5"/>
            </w:pPr>
          </w:p>
        </w:tc>
      </w:tr>
      <w:tr>
        <w:tblPrEx>
          <w:tblCellMar>
            <w:top w:w="0" w:type="dxa"/>
            <w:left w:w="108" w:type="dxa"/>
            <w:bottom w:w="0" w:type="dxa"/>
            <w:right w:w="108" w:type="dxa"/>
          </w:tblCellMar>
        </w:tblPrEx>
        <w:trPr>
          <w:trHeight w:val="562" w:hRule="atLeast"/>
        </w:trPr>
        <w:tc>
          <w:tcPr>
            <w:tcW w:w="700" w:type="dxa"/>
            <w:tcBorders>
              <w:top w:val="nil"/>
              <w:left w:val="single" w:color="auto" w:sz="4" w:space="0"/>
              <w:bottom w:val="single" w:color="auto" w:sz="4" w:space="0"/>
              <w:right w:val="single" w:color="auto" w:sz="4" w:space="0"/>
            </w:tcBorders>
            <w:noWrap w:val="0"/>
            <w:vAlign w:val="center"/>
          </w:tcPr>
          <w:p>
            <w:pPr>
              <w:pStyle w:val="5"/>
            </w:pPr>
            <w:r>
              <w:rPr>
                <w:rFonts w:hint="eastAsia"/>
              </w:rPr>
              <w:t>7</w:t>
            </w:r>
          </w:p>
        </w:tc>
        <w:tc>
          <w:tcPr>
            <w:tcW w:w="1535" w:type="dxa"/>
            <w:tcBorders>
              <w:top w:val="nil"/>
              <w:left w:val="nil"/>
              <w:bottom w:val="single" w:color="auto" w:sz="4" w:space="0"/>
              <w:right w:val="single" w:color="auto" w:sz="4" w:space="0"/>
            </w:tcBorders>
            <w:noWrap w:val="0"/>
            <w:vAlign w:val="center"/>
          </w:tcPr>
          <w:p>
            <w:pPr>
              <w:pStyle w:val="5"/>
            </w:pPr>
            <w:r>
              <w:rPr>
                <w:rFonts w:hint="eastAsia"/>
              </w:rPr>
              <w:t>网络交换机</w:t>
            </w:r>
          </w:p>
        </w:tc>
        <w:tc>
          <w:tcPr>
            <w:tcW w:w="3578" w:type="dxa"/>
            <w:tcBorders>
              <w:top w:val="nil"/>
              <w:left w:val="nil"/>
              <w:bottom w:val="single" w:color="auto" w:sz="4" w:space="0"/>
              <w:right w:val="single" w:color="auto" w:sz="4" w:space="0"/>
            </w:tcBorders>
            <w:noWrap w:val="0"/>
            <w:vAlign w:val="center"/>
          </w:tcPr>
          <w:p>
            <w:pPr>
              <w:pStyle w:val="5"/>
            </w:pPr>
            <w:r>
              <w:rPr>
                <w:rFonts w:hint="eastAsia"/>
              </w:rPr>
              <w:t>16端口</w:t>
            </w:r>
          </w:p>
        </w:tc>
        <w:tc>
          <w:tcPr>
            <w:tcW w:w="760" w:type="dxa"/>
            <w:tcBorders>
              <w:top w:val="nil"/>
              <w:left w:val="nil"/>
              <w:bottom w:val="single" w:color="auto" w:sz="4" w:space="0"/>
              <w:right w:val="single" w:color="auto" w:sz="4" w:space="0"/>
            </w:tcBorders>
            <w:noWrap w:val="0"/>
            <w:vAlign w:val="center"/>
          </w:tcPr>
          <w:p>
            <w:pPr>
              <w:pStyle w:val="5"/>
            </w:pPr>
            <w:r>
              <w:rPr>
                <w:rFonts w:hint="eastAsia"/>
              </w:rPr>
              <w:t>1台</w:t>
            </w:r>
          </w:p>
        </w:tc>
        <w:tc>
          <w:tcPr>
            <w:tcW w:w="2310" w:type="dxa"/>
            <w:tcBorders>
              <w:top w:val="nil"/>
              <w:left w:val="nil"/>
              <w:bottom w:val="single" w:color="auto" w:sz="4" w:space="0"/>
              <w:right w:val="single" w:color="auto" w:sz="4" w:space="0"/>
            </w:tcBorders>
            <w:noWrap w:val="0"/>
            <w:vAlign w:val="center"/>
          </w:tcPr>
          <w:p>
            <w:pPr>
              <w:pStyle w:val="5"/>
            </w:pPr>
            <w:r>
              <w:rPr>
                <w:rFonts w:hint="eastAsia"/>
              </w:rPr>
              <w:t>3com、思科、东土同等或以上</w:t>
            </w:r>
          </w:p>
        </w:tc>
      </w:tr>
      <w:tr>
        <w:tblPrEx>
          <w:tblCellMar>
            <w:top w:w="0" w:type="dxa"/>
            <w:left w:w="108" w:type="dxa"/>
            <w:bottom w:w="0" w:type="dxa"/>
            <w:right w:w="108" w:type="dxa"/>
          </w:tblCellMar>
        </w:tblPrEx>
        <w:trPr>
          <w:trHeight w:val="557" w:hRule="atLeast"/>
        </w:trPr>
        <w:tc>
          <w:tcPr>
            <w:tcW w:w="700" w:type="dxa"/>
            <w:tcBorders>
              <w:top w:val="single" w:color="auto" w:sz="4" w:space="0"/>
              <w:left w:val="single" w:color="auto" w:sz="4" w:space="0"/>
              <w:bottom w:val="single" w:color="auto" w:sz="4" w:space="0"/>
              <w:right w:val="single" w:color="auto" w:sz="4" w:space="0"/>
            </w:tcBorders>
            <w:noWrap w:val="0"/>
            <w:vAlign w:val="center"/>
          </w:tcPr>
          <w:p>
            <w:pPr>
              <w:pStyle w:val="5"/>
            </w:pPr>
            <w:r>
              <w:rPr>
                <w:rFonts w:hint="eastAsia"/>
              </w:rPr>
              <w:t>8</w:t>
            </w:r>
          </w:p>
        </w:tc>
        <w:tc>
          <w:tcPr>
            <w:tcW w:w="1535" w:type="dxa"/>
            <w:tcBorders>
              <w:top w:val="single" w:color="auto" w:sz="4" w:space="0"/>
              <w:left w:val="nil"/>
              <w:bottom w:val="single" w:color="auto" w:sz="4" w:space="0"/>
              <w:right w:val="single" w:color="auto" w:sz="4" w:space="0"/>
            </w:tcBorders>
            <w:noWrap w:val="0"/>
            <w:vAlign w:val="center"/>
          </w:tcPr>
          <w:p>
            <w:pPr>
              <w:pStyle w:val="5"/>
            </w:pPr>
            <w:r>
              <w:rPr>
                <w:rFonts w:hint="eastAsia"/>
              </w:rPr>
              <w:t>监控软件</w:t>
            </w:r>
          </w:p>
        </w:tc>
        <w:tc>
          <w:tcPr>
            <w:tcW w:w="3578" w:type="dxa"/>
            <w:tcBorders>
              <w:top w:val="single" w:color="auto" w:sz="4" w:space="0"/>
              <w:left w:val="nil"/>
              <w:bottom w:val="single" w:color="auto" w:sz="4" w:space="0"/>
              <w:right w:val="single" w:color="auto" w:sz="4" w:space="0"/>
            </w:tcBorders>
            <w:noWrap w:val="0"/>
            <w:vAlign w:val="center"/>
          </w:tcPr>
          <w:p>
            <w:pPr>
              <w:pStyle w:val="5"/>
            </w:pPr>
            <w:r>
              <w:rPr>
                <w:rFonts w:hint="eastAsia"/>
              </w:rPr>
              <w:t>中文版组态软件（含状态检测平台、工业控制软件、运行数据管理软件），支持扩展多用户C/S系统结构，支持同三方OPC通讯协议接口对接。</w:t>
            </w:r>
          </w:p>
        </w:tc>
        <w:tc>
          <w:tcPr>
            <w:tcW w:w="760" w:type="dxa"/>
            <w:tcBorders>
              <w:top w:val="single" w:color="auto" w:sz="4" w:space="0"/>
              <w:left w:val="nil"/>
              <w:bottom w:val="single" w:color="auto" w:sz="4" w:space="0"/>
              <w:right w:val="single" w:color="auto" w:sz="4" w:space="0"/>
            </w:tcBorders>
            <w:noWrap w:val="0"/>
            <w:vAlign w:val="center"/>
          </w:tcPr>
          <w:p>
            <w:pPr>
              <w:pStyle w:val="5"/>
            </w:pPr>
            <w:r>
              <w:rPr>
                <w:rFonts w:hint="eastAsia"/>
                <w:lang w:val="en-US" w:eastAsia="zh-CN"/>
              </w:rPr>
              <w:t>1</w:t>
            </w:r>
            <w:r>
              <w:rPr>
                <w:rFonts w:hint="eastAsia"/>
              </w:rPr>
              <w:t>套</w:t>
            </w:r>
          </w:p>
        </w:tc>
        <w:tc>
          <w:tcPr>
            <w:tcW w:w="2310" w:type="dxa"/>
            <w:tcBorders>
              <w:top w:val="single" w:color="auto" w:sz="4" w:space="0"/>
              <w:left w:val="nil"/>
              <w:bottom w:val="single" w:color="auto" w:sz="4" w:space="0"/>
              <w:right w:val="single" w:color="auto" w:sz="4" w:space="0"/>
            </w:tcBorders>
            <w:noWrap w:val="0"/>
            <w:vAlign w:val="center"/>
          </w:tcPr>
          <w:p>
            <w:pPr>
              <w:pStyle w:val="5"/>
              <w:rPr>
                <w:rFonts w:hint="default"/>
                <w:lang w:val="en-US" w:eastAsia="zh-CN"/>
              </w:rPr>
            </w:pPr>
            <w:r>
              <w:rPr>
                <w:rFonts w:hint="eastAsia"/>
                <w:lang w:val="en-US" w:eastAsia="zh-CN"/>
              </w:rPr>
              <w:t>同微机综保厂家</w:t>
            </w:r>
          </w:p>
        </w:tc>
      </w:tr>
      <w:tr>
        <w:tblPrEx>
          <w:tblCellMar>
            <w:top w:w="0" w:type="dxa"/>
            <w:left w:w="108" w:type="dxa"/>
            <w:bottom w:w="0" w:type="dxa"/>
            <w:right w:w="108" w:type="dxa"/>
          </w:tblCellMar>
        </w:tblPrEx>
        <w:trPr>
          <w:trHeight w:val="974" w:hRule="atLeast"/>
        </w:trPr>
        <w:tc>
          <w:tcPr>
            <w:tcW w:w="700" w:type="dxa"/>
            <w:tcBorders>
              <w:top w:val="nil"/>
              <w:left w:val="single" w:color="auto" w:sz="4" w:space="0"/>
              <w:bottom w:val="single" w:color="auto" w:sz="4" w:space="0"/>
              <w:right w:val="single" w:color="auto" w:sz="4" w:space="0"/>
            </w:tcBorders>
            <w:noWrap w:val="0"/>
            <w:vAlign w:val="center"/>
          </w:tcPr>
          <w:p>
            <w:pPr>
              <w:pStyle w:val="5"/>
            </w:pPr>
            <w:r>
              <w:rPr>
                <w:rFonts w:hint="eastAsia"/>
              </w:rPr>
              <w:t>9</w:t>
            </w:r>
          </w:p>
        </w:tc>
        <w:tc>
          <w:tcPr>
            <w:tcW w:w="1535" w:type="dxa"/>
            <w:tcBorders>
              <w:top w:val="nil"/>
              <w:left w:val="nil"/>
              <w:bottom w:val="single" w:color="auto" w:sz="4" w:space="0"/>
              <w:right w:val="single" w:color="auto" w:sz="4" w:space="0"/>
            </w:tcBorders>
            <w:noWrap w:val="0"/>
            <w:vAlign w:val="center"/>
          </w:tcPr>
          <w:p>
            <w:pPr>
              <w:pStyle w:val="5"/>
            </w:pPr>
            <w:r>
              <w:rPr>
                <w:rFonts w:hint="eastAsia"/>
              </w:rPr>
              <w:t>通讯机柜</w:t>
            </w:r>
          </w:p>
        </w:tc>
        <w:tc>
          <w:tcPr>
            <w:tcW w:w="3578" w:type="dxa"/>
            <w:tcBorders>
              <w:top w:val="nil"/>
              <w:left w:val="nil"/>
              <w:bottom w:val="single" w:color="auto" w:sz="4" w:space="0"/>
              <w:right w:val="single" w:color="auto" w:sz="4" w:space="0"/>
            </w:tcBorders>
            <w:noWrap w:val="0"/>
            <w:vAlign w:val="center"/>
          </w:tcPr>
          <w:p>
            <w:pPr>
              <w:pStyle w:val="5"/>
            </w:pPr>
          </w:p>
        </w:tc>
        <w:tc>
          <w:tcPr>
            <w:tcW w:w="760" w:type="dxa"/>
            <w:tcBorders>
              <w:top w:val="nil"/>
              <w:left w:val="nil"/>
              <w:bottom w:val="single" w:color="auto" w:sz="4" w:space="0"/>
              <w:right w:val="single" w:color="auto" w:sz="4" w:space="0"/>
            </w:tcBorders>
            <w:noWrap w:val="0"/>
            <w:vAlign w:val="center"/>
          </w:tcPr>
          <w:p>
            <w:pPr>
              <w:pStyle w:val="5"/>
            </w:pPr>
          </w:p>
        </w:tc>
        <w:tc>
          <w:tcPr>
            <w:tcW w:w="2310" w:type="dxa"/>
            <w:tcBorders>
              <w:top w:val="nil"/>
              <w:left w:val="nil"/>
              <w:bottom w:val="single" w:color="auto" w:sz="4" w:space="0"/>
              <w:right w:val="single" w:color="auto" w:sz="4" w:space="0"/>
            </w:tcBorders>
            <w:noWrap w:val="0"/>
            <w:vAlign w:val="center"/>
          </w:tcPr>
          <w:p>
            <w:pPr>
              <w:pStyle w:val="5"/>
            </w:pPr>
            <w:r>
              <w:rPr>
                <w:rFonts w:hint="eastAsia"/>
              </w:rPr>
              <w:t>国产优质</w:t>
            </w:r>
          </w:p>
        </w:tc>
      </w:tr>
    </w:tbl>
    <w:p>
      <w:pPr>
        <w:spacing w:line="360" w:lineRule="auto"/>
        <w:rPr>
          <w:rFonts w:ascii="宋体" w:hAnsi="宋体"/>
          <w:szCs w:val="21"/>
        </w:rPr>
      </w:pPr>
      <w:r>
        <w:rPr>
          <w:rFonts w:hint="eastAsia" w:ascii="宋体" w:hAnsi="宋体"/>
          <w:szCs w:val="21"/>
        </w:rPr>
        <w:t>7.变压器</w:t>
      </w:r>
    </w:p>
    <w:p>
      <w:pPr>
        <w:tabs>
          <w:tab w:val="left" w:pos="560"/>
        </w:tabs>
        <w:spacing w:line="360" w:lineRule="auto"/>
        <w:ind w:firstLine="420" w:firstLineChars="200"/>
        <w:rPr>
          <w:rFonts w:ascii="宋体" w:hAnsi="宋体"/>
          <w:szCs w:val="21"/>
        </w:rPr>
      </w:pPr>
      <w:r>
        <w:rPr>
          <w:rFonts w:ascii="宋体" w:hAnsi="宋体"/>
          <w:szCs w:val="21"/>
        </w:rPr>
        <w:t>额定频率：50Hz；</w:t>
      </w:r>
    </w:p>
    <w:p>
      <w:pPr>
        <w:tabs>
          <w:tab w:val="left" w:pos="560"/>
        </w:tabs>
        <w:spacing w:line="360" w:lineRule="auto"/>
        <w:ind w:firstLine="420" w:firstLineChars="200"/>
        <w:rPr>
          <w:rFonts w:ascii="宋体" w:hAnsi="宋体"/>
          <w:szCs w:val="21"/>
        </w:rPr>
      </w:pPr>
      <w:r>
        <w:rPr>
          <w:rFonts w:ascii="宋体" w:hAnsi="宋体"/>
          <w:szCs w:val="21"/>
        </w:rPr>
        <w:t>额定电压：高压侧：</w:t>
      </w:r>
      <w:r>
        <w:rPr>
          <w:rFonts w:hint="eastAsia" w:ascii="宋体" w:hAnsi="宋体"/>
          <w:szCs w:val="21"/>
        </w:rPr>
        <w:t>10</w:t>
      </w:r>
      <w:r>
        <w:rPr>
          <w:rFonts w:ascii="宋体" w:hAnsi="宋体"/>
          <w:szCs w:val="21"/>
        </w:rPr>
        <w:t>V，低压侧：</w:t>
      </w:r>
      <w:r>
        <w:rPr>
          <w:rFonts w:hint="eastAsia" w:ascii="宋体" w:hAnsi="宋体"/>
          <w:szCs w:val="21"/>
        </w:rPr>
        <w:t>400</w:t>
      </w:r>
      <w:r>
        <w:rPr>
          <w:rFonts w:ascii="宋体" w:hAnsi="宋体"/>
          <w:szCs w:val="21"/>
        </w:rPr>
        <w:t>V；</w:t>
      </w:r>
    </w:p>
    <w:p>
      <w:pPr>
        <w:tabs>
          <w:tab w:val="left" w:pos="560"/>
        </w:tabs>
        <w:spacing w:line="360" w:lineRule="auto"/>
        <w:ind w:firstLine="420" w:firstLineChars="200"/>
        <w:rPr>
          <w:rFonts w:ascii="宋体" w:hAnsi="宋体"/>
          <w:szCs w:val="21"/>
        </w:rPr>
      </w:pPr>
      <w:r>
        <w:rPr>
          <w:rFonts w:ascii="宋体" w:hAnsi="宋体"/>
          <w:szCs w:val="21"/>
        </w:rPr>
        <w:t>高压侧最高工作电压：</w:t>
      </w:r>
      <w:r>
        <w:rPr>
          <w:rFonts w:hint="eastAsia" w:ascii="宋体" w:hAnsi="宋体"/>
          <w:szCs w:val="21"/>
        </w:rPr>
        <w:t>12</w:t>
      </w:r>
      <w:r>
        <w:rPr>
          <w:rFonts w:ascii="宋体" w:hAnsi="宋体"/>
          <w:szCs w:val="21"/>
        </w:rPr>
        <w:t>kV；</w:t>
      </w:r>
    </w:p>
    <w:p>
      <w:pPr>
        <w:tabs>
          <w:tab w:val="left" w:pos="560"/>
        </w:tabs>
        <w:spacing w:line="360" w:lineRule="auto"/>
        <w:ind w:firstLine="420" w:firstLineChars="200"/>
        <w:rPr>
          <w:rFonts w:ascii="宋体" w:hAnsi="宋体"/>
          <w:szCs w:val="21"/>
        </w:rPr>
      </w:pPr>
      <w:r>
        <w:rPr>
          <w:rFonts w:ascii="宋体" w:hAnsi="宋体"/>
          <w:szCs w:val="21"/>
        </w:rPr>
        <w:t>系统中性点接地方式：高压侧</w:t>
      </w:r>
      <w:r>
        <w:rPr>
          <w:rFonts w:hint="eastAsia" w:ascii="宋体" w:hAnsi="宋体"/>
          <w:szCs w:val="21"/>
        </w:rPr>
        <w:t>不</w:t>
      </w:r>
      <w:r>
        <w:rPr>
          <w:rFonts w:ascii="宋体" w:hAnsi="宋体"/>
          <w:szCs w:val="21"/>
        </w:rPr>
        <w:t>接地，低压侧直接接地；</w:t>
      </w:r>
    </w:p>
    <w:p>
      <w:pPr>
        <w:tabs>
          <w:tab w:val="left" w:pos="560"/>
        </w:tabs>
        <w:spacing w:line="360" w:lineRule="auto"/>
        <w:ind w:firstLine="420" w:firstLineChars="200"/>
        <w:rPr>
          <w:rFonts w:ascii="宋体" w:hAnsi="宋体"/>
          <w:szCs w:val="21"/>
        </w:rPr>
      </w:pPr>
      <w:r>
        <w:rPr>
          <w:rFonts w:ascii="宋体" w:hAnsi="宋体"/>
          <w:szCs w:val="21"/>
        </w:rPr>
        <w:t>设备布置在户内，电气/电子设备应能满足在室温40℃，无空调的环境中长期安全可靠运行，且运行参数保持额定值。</w:t>
      </w:r>
    </w:p>
    <w:p>
      <w:pPr>
        <w:spacing w:line="360" w:lineRule="auto"/>
        <w:rPr>
          <w:rFonts w:hint="eastAsia" w:ascii="宋体" w:hAnsi="宋体"/>
          <w:szCs w:val="21"/>
          <w:lang w:eastAsia="zh-CN"/>
        </w:rPr>
      </w:pPr>
      <w:r>
        <w:rPr>
          <w:rFonts w:ascii="宋体" w:hAnsi="宋体"/>
          <w:szCs w:val="21"/>
        </w:rPr>
        <w:t>技术参数</w:t>
      </w:r>
      <w:r>
        <w:rPr>
          <w:rFonts w:hint="eastAsia" w:ascii="宋体" w:hAnsi="宋体"/>
          <w:szCs w:val="21"/>
          <w:lang w:eastAsia="zh-CN"/>
        </w:rPr>
        <w:t>：</w:t>
      </w:r>
    </w:p>
    <w:tbl>
      <w:tblPr>
        <w:tblStyle w:val="45"/>
        <w:tblW w:w="94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559"/>
        <w:gridCol w:w="1701"/>
        <w:gridCol w:w="2977"/>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2" w:hRule="atLeast"/>
        </w:trPr>
        <w:tc>
          <w:tcPr>
            <w:tcW w:w="1384" w:type="dxa"/>
            <w:noWrap w:val="0"/>
            <w:vAlign w:val="center"/>
          </w:tcPr>
          <w:p>
            <w:pPr>
              <w:pStyle w:val="24"/>
              <w:spacing w:line="360" w:lineRule="auto"/>
              <w:ind w:firstLine="480"/>
              <w:jc w:val="center"/>
              <w:rPr>
                <w:rFonts w:ascii="宋体" w:hAnsi="宋体"/>
                <w:szCs w:val="21"/>
              </w:rPr>
            </w:pPr>
            <w:r>
              <w:rPr>
                <w:rFonts w:ascii="宋体" w:hAnsi="宋体"/>
                <w:szCs w:val="21"/>
              </w:rPr>
              <w:t>额定容量(kVA)</w:t>
            </w:r>
          </w:p>
        </w:tc>
        <w:tc>
          <w:tcPr>
            <w:tcW w:w="1559" w:type="dxa"/>
            <w:noWrap w:val="0"/>
            <w:vAlign w:val="center"/>
          </w:tcPr>
          <w:p>
            <w:pPr>
              <w:pStyle w:val="24"/>
              <w:spacing w:line="360" w:lineRule="auto"/>
              <w:ind w:firstLine="480"/>
              <w:jc w:val="center"/>
              <w:rPr>
                <w:rFonts w:ascii="宋体" w:hAnsi="宋体"/>
                <w:szCs w:val="21"/>
              </w:rPr>
            </w:pPr>
            <w:r>
              <w:rPr>
                <w:rFonts w:ascii="宋体" w:hAnsi="宋体"/>
                <w:szCs w:val="21"/>
              </w:rPr>
              <w:t>变压器型号</w:t>
            </w:r>
          </w:p>
        </w:tc>
        <w:tc>
          <w:tcPr>
            <w:tcW w:w="1701" w:type="dxa"/>
            <w:noWrap w:val="0"/>
            <w:vAlign w:val="center"/>
          </w:tcPr>
          <w:p>
            <w:pPr>
              <w:pStyle w:val="24"/>
              <w:spacing w:line="360" w:lineRule="auto"/>
              <w:ind w:firstLine="480"/>
              <w:jc w:val="center"/>
              <w:rPr>
                <w:rFonts w:ascii="宋体" w:hAnsi="宋体"/>
                <w:szCs w:val="21"/>
              </w:rPr>
            </w:pPr>
            <w:r>
              <w:rPr>
                <w:rFonts w:ascii="宋体" w:hAnsi="宋体"/>
                <w:szCs w:val="21"/>
              </w:rPr>
              <w:t>电压比（kV）</w:t>
            </w:r>
          </w:p>
        </w:tc>
        <w:tc>
          <w:tcPr>
            <w:tcW w:w="2977" w:type="dxa"/>
            <w:noWrap w:val="0"/>
            <w:vAlign w:val="center"/>
          </w:tcPr>
          <w:p>
            <w:pPr>
              <w:pStyle w:val="24"/>
              <w:spacing w:line="360" w:lineRule="auto"/>
              <w:ind w:firstLine="480"/>
              <w:jc w:val="center"/>
              <w:rPr>
                <w:rFonts w:ascii="宋体" w:hAnsi="宋体"/>
                <w:szCs w:val="21"/>
              </w:rPr>
            </w:pPr>
            <w:r>
              <w:rPr>
                <w:rFonts w:ascii="宋体" w:hAnsi="宋体"/>
                <w:szCs w:val="21"/>
              </w:rPr>
              <w:t>接线组别</w:t>
            </w:r>
          </w:p>
        </w:tc>
        <w:tc>
          <w:tcPr>
            <w:tcW w:w="1843" w:type="dxa"/>
            <w:noWrap w:val="0"/>
            <w:vAlign w:val="center"/>
          </w:tcPr>
          <w:p>
            <w:pPr>
              <w:pStyle w:val="24"/>
              <w:spacing w:line="360" w:lineRule="auto"/>
              <w:ind w:firstLine="480"/>
              <w:jc w:val="center"/>
              <w:rPr>
                <w:rFonts w:ascii="宋体" w:hAnsi="宋体"/>
                <w:szCs w:val="21"/>
              </w:rPr>
            </w:pPr>
            <w:r>
              <w:rPr>
                <w:rFonts w:ascii="宋体" w:hAnsi="宋体"/>
                <w:szCs w:val="21"/>
              </w:rPr>
              <w:t>阻抗电压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384" w:type="dxa"/>
            <w:noWrap w:val="0"/>
            <w:vAlign w:val="center"/>
          </w:tcPr>
          <w:p>
            <w:pPr>
              <w:pStyle w:val="35"/>
              <w:jc w:val="center"/>
              <w:rPr>
                <w:rFonts w:ascii="宋体" w:hAnsi="宋体"/>
                <w:sz w:val="21"/>
                <w:szCs w:val="21"/>
              </w:rPr>
            </w:pPr>
            <w:r>
              <w:rPr>
                <w:rFonts w:hint="eastAsia" w:ascii="宋体" w:hAnsi="宋体"/>
                <w:sz w:val="21"/>
                <w:szCs w:val="21"/>
              </w:rPr>
              <w:t>500</w:t>
            </w:r>
          </w:p>
        </w:tc>
        <w:tc>
          <w:tcPr>
            <w:tcW w:w="1559" w:type="dxa"/>
            <w:noWrap w:val="0"/>
            <w:vAlign w:val="center"/>
          </w:tcPr>
          <w:p>
            <w:pPr>
              <w:pStyle w:val="32"/>
              <w:spacing w:line="360" w:lineRule="auto"/>
              <w:jc w:val="center"/>
              <w:rPr>
                <w:rFonts w:ascii="宋体" w:hAnsi="宋体"/>
                <w:szCs w:val="21"/>
              </w:rPr>
            </w:pPr>
            <w:r>
              <w:rPr>
                <w:rFonts w:ascii="宋体" w:hAnsi="宋体"/>
                <w:szCs w:val="21"/>
              </w:rPr>
              <w:t>SCB</w:t>
            </w:r>
            <w:r>
              <w:rPr>
                <w:rFonts w:hint="eastAsia" w:ascii="宋体" w:hAnsi="宋体"/>
                <w:szCs w:val="21"/>
              </w:rPr>
              <w:t>10</w:t>
            </w:r>
          </w:p>
        </w:tc>
        <w:tc>
          <w:tcPr>
            <w:tcW w:w="1701" w:type="dxa"/>
            <w:noWrap w:val="0"/>
            <w:vAlign w:val="center"/>
          </w:tcPr>
          <w:p>
            <w:pPr>
              <w:pStyle w:val="32"/>
              <w:spacing w:line="360" w:lineRule="auto"/>
              <w:jc w:val="center"/>
              <w:rPr>
                <w:rFonts w:ascii="宋体" w:hAnsi="宋体"/>
                <w:szCs w:val="21"/>
              </w:rPr>
            </w:pPr>
            <w:r>
              <w:rPr>
                <w:rFonts w:hint="eastAsia" w:ascii="宋体" w:hAnsi="宋体"/>
                <w:szCs w:val="21"/>
              </w:rPr>
              <w:t>10</w:t>
            </w:r>
            <w:r>
              <w:rPr>
                <w:rFonts w:ascii="宋体" w:hAnsi="宋体"/>
                <w:szCs w:val="21"/>
                <w:lang w:val="en-GB"/>
              </w:rPr>
              <w:t>±</w:t>
            </w:r>
            <w:r>
              <w:rPr>
                <w:rFonts w:ascii="宋体" w:hAnsi="宋体"/>
                <w:szCs w:val="21"/>
              </w:rPr>
              <w:t>2</w:t>
            </w:r>
            <w:r>
              <w:rPr>
                <w:rFonts w:ascii="宋体" w:hAnsi="宋体"/>
                <w:szCs w:val="21"/>
                <w:lang w:val="en-GB"/>
              </w:rPr>
              <w:t>×</w:t>
            </w:r>
            <w:r>
              <w:rPr>
                <w:rFonts w:ascii="宋体" w:hAnsi="宋体"/>
                <w:szCs w:val="21"/>
              </w:rPr>
              <w:t>2.5%/0.4</w:t>
            </w:r>
          </w:p>
        </w:tc>
        <w:tc>
          <w:tcPr>
            <w:tcW w:w="2977" w:type="dxa"/>
            <w:noWrap w:val="0"/>
            <w:vAlign w:val="center"/>
          </w:tcPr>
          <w:p>
            <w:pPr>
              <w:pStyle w:val="32"/>
              <w:spacing w:line="360" w:lineRule="auto"/>
              <w:jc w:val="center"/>
              <w:rPr>
                <w:rFonts w:ascii="宋体" w:hAnsi="宋体"/>
                <w:szCs w:val="21"/>
              </w:rPr>
            </w:pPr>
            <w:r>
              <w:rPr>
                <w:rFonts w:ascii="宋体" w:hAnsi="宋体"/>
                <w:szCs w:val="21"/>
              </w:rPr>
              <w:t>D,yn11</w:t>
            </w:r>
          </w:p>
        </w:tc>
        <w:tc>
          <w:tcPr>
            <w:tcW w:w="1843" w:type="dxa"/>
            <w:noWrap w:val="0"/>
            <w:vAlign w:val="center"/>
          </w:tcPr>
          <w:p>
            <w:pPr>
              <w:pStyle w:val="32"/>
              <w:spacing w:line="360" w:lineRule="auto"/>
              <w:jc w:val="center"/>
              <w:rPr>
                <w:rFonts w:ascii="宋体" w:hAnsi="宋体"/>
                <w:szCs w:val="21"/>
              </w:rPr>
            </w:pPr>
            <w:r>
              <w:rPr>
                <w:rFonts w:hint="eastAsia" w:ascii="宋体" w:hAnsi="宋体"/>
                <w:szCs w:val="21"/>
              </w:rPr>
              <w:t>4</w:t>
            </w:r>
            <w:r>
              <w:rPr>
                <w:rFonts w:ascii="宋体" w:hAnsi="宋体"/>
                <w:szCs w:val="21"/>
              </w:rPr>
              <w:t>%</w:t>
            </w:r>
          </w:p>
        </w:tc>
      </w:tr>
    </w:tbl>
    <w:p>
      <w:pPr>
        <w:spacing w:line="360" w:lineRule="auto"/>
        <w:rPr>
          <w:rFonts w:ascii="宋体" w:hAnsi="宋体"/>
          <w:szCs w:val="21"/>
        </w:rPr>
      </w:pPr>
      <w:r>
        <w:rPr>
          <w:rFonts w:hint="eastAsia" w:ascii="宋体" w:hAnsi="宋体"/>
          <w:szCs w:val="21"/>
        </w:rPr>
        <w:t>2）</w:t>
      </w:r>
      <w:r>
        <w:rPr>
          <w:rFonts w:ascii="宋体" w:hAnsi="宋体"/>
          <w:szCs w:val="21"/>
        </w:rPr>
        <w:t>数据表</w:t>
      </w:r>
    </w:p>
    <w:tbl>
      <w:tblPr>
        <w:tblStyle w:val="45"/>
        <w:tblW w:w="937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1"/>
        <w:gridCol w:w="3332"/>
        <w:gridCol w:w="3602"/>
        <w:gridCol w:w="17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8" w:hRule="atLeast"/>
          <w:tblHeader/>
        </w:trPr>
        <w:tc>
          <w:tcPr>
            <w:tcW w:w="661" w:type="dxa"/>
            <w:noWrap w:val="0"/>
            <w:vAlign w:val="center"/>
          </w:tcPr>
          <w:p>
            <w:pPr>
              <w:spacing w:line="360" w:lineRule="auto"/>
              <w:rPr>
                <w:rFonts w:ascii="宋体" w:hAnsi="宋体"/>
                <w:b/>
                <w:szCs w:val="21"/>
              </w:rPr>
            </w:pPr>
            <w:r>
              <w:rPr>
                <w:rFonts w:hint="eastAsia" w:ascii="宋体" w:hAnsi="宋体"/>
                <w:b/>
                <w:szCs w:val="21"/>
              </w:rPr>
              <w:t>序号</w:t>
            </w:r>
          </w:p>
        </w:tc>
        <w:tc>
          <w:tcPr>
            <w:tcW w:w="3332" w:type="dxa"/>
            <w:noWrap w:val="0"/>
            <w:vAlign w:val="center"/>
          </w:tcPr>
          <w:p>
            <w:pPr>
              <w:spacing w:line="360" w:lineRule="auto"/>
              <w:jc w:val="center"/>
              <w:rPr>
                <w:rFonts w:ascii="宋体" w:hAnsi="宋体"/>
                <w:b/>
                <w:szCs w:val="21"/>
              </w:rPr>
            </w:pPr>
            <w:r>
              <w:rPr>
                <w:rFonts w:hint="eastAsia" w:ascii="宋体" w:hAnsi="宋体"/>
                <w:b/>
                <w:szCs w:val="21"/>
              </w:rPr>
              <w:t>名            称</w:t>
            </w:r>
          </w:p>
        </w:tc>
        <w:tc>
          <w:tcPr>
            <w:tcW w:w="3602" w:type="dxa"/>
            <w:noWrap w:val="0"/>
            <w:vAlign w:val="center"/>
          </w:tcPr>
          <w:p>
            <w:pPr>
              <w:tabs>
                <w:tab w:val="left" w:pos="282"/>
              </w:tabs>
              <w:spacing w:line="360" w:lineRule="auto"/>
              <w:ind w:leftChars="-205" w:hanging="430" w:hangingChars="204"/>
              <w:jc w:val="center"/>
              <w:rPr>
                <w:rFonts w:ascii="宋体" w:hAnsi="宋体"/>
                <w:b/>
                <w:szCs w:val="21"/>
              </w:rPr>
            </w:pPr>
            <w:r>
              <w:rPr>
                <w:rFonts w:hint="eastAsia" w:ascii="宋体" w:hAnsi="宋体"/>
                <w:b/>
                <w:szCs w:val="21"/>
              </w:rPr>
              <w:t>设计值</w:t>
            </w:r>
          </w:p>
        </w:tc>
        <w:tc>
          <w:tcPr>
            <w:tcW w:w="1783" w:type="dxa"/>
            <w:noWrap w:val="0"/>
            <w:vAlign w:val="center"/>
          </w:tcPr>
          <w:p>
            <w:pPr>
              <w:spacing w:line="360" w:lineRule="auto"/>
              <w:jc w:val="center"/>
              <w:rPr>
                <w:rFonts w:ascii="宋体" w:hAnsi="宋体"/>
                <w:b/>
                <w:szCs w:val="21"/>
              </w:rPr>
            </w:pPr>
            <w:r>
              <w:rPr>
                <w:rFonts w:hint="eastAsia" w:ascii="宋体" w:hAnsi="宋体"/>
                <w:b/>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661" w:type="dxa"/>
            <w:noWrap w:val="0"/>
            <w:vAlign w:val="center"/>
          </w:tcPr>
          <w:p>
            <w:pPr>
              <w:spacing w:line="360" w:lineRule="auto"/>
              <w:jc w:val="center"/>
              <w:rPr>
                <w:rFonts w:ascii="宋体" w:hAnsi="宋体"/>
                <w:szCs w:val="21"/>
              </w:rPr>
            </w:pPr>
            <w:r>
              <w:rPr>
                <w:rFonts w:hint="eastAsia" w:ascii="宋体" w:hAnsi="宋体"/>
                <w:szCs w:val="21"/>
              </w:rPr>
              <w:t>一</w:t>
            </w:r>
          </w:p>
        </w:tc>
        <w:tc>
          <w:tcPr>
            <w:tcW w:w="3332" w:type="dxa"/>
            <w:noWrap w:val="0"/>
            <w:vAlign w:val="center"/>
          </w:tcPr>
          <w:p>
            <w:pPr>
              <w:spacing w:line="360" w:lineRule="auto"/>
              <w:rPr>
                <w:rFonts w:ascii="宋体" w:hAnsi="宋体"/>
                <w:szCs w:val="21"/>
              </w:rPr>
            </w:pPr>
            <w:r>
              <w:rPr>
                <w:rFonts w:hint="eastAsia" w:ascii="宋体" w:hAnsi="宋体"/>
                <w:szCs w:val="21"/>
              </w:rPr>
              <w:t>设备需求</w:t>
            </w:r>
          </w:p>
        </w:tc>
        <w:tc>
          <w:tcPr>
            <w:tcW w:w="3602" w:type="dxa"/>
            <w:noWrap w:val="0"/>
            <w:vAlign w:val="top"/>
          </w:tcPr>
          <w:p>
            <w:pPr>
              <w:spacing w:line="360" w:lineRule="auto"/>
              <w:rPr>
                <w:rFonts w:ascii="宋体" w:hAnsi="宋体"/>
                <w:szCs w:val="21"/>
              </w:rPr>
            </w:pPr>
          </w:p>
        </w:tc>
        <w:tc>
          <w:tcPr>
            <w:tcW w:w="1783" w:type="dxa"/>
            <w:noWrap w:val="0"/>
            <w:vAlign w:val="top"/>
          </w:tcPr>
          <w:p>
            <w:pPr>
              <w:spacing w:line="360" w:lineRule="auto"/>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3" w:hRule="atLeast"/>
        </w:trPr>
        <w:tc>
          <w:tcPr>
            <w:tcW w:w="661" w:type="dxa"/>
            <w:noWrap w:val="0"/>
            <w:vAlign w:val="center"/>
          </w:tcPr>
          <w:p>
            <w:pPr>
              <w:spacing w:line="360" w:lineRule="auto"/>
              <w:jc w:val="center"/>
              <w:rPr>
                <w:rFonts w:ascii="宋体" w:hAnsi="宋体"/>
                <w:szCs w:val="21"/>
              </w:rPr>
            </w:pPr>
            <w:r>
              <w:rPr>
                <w:rFonts w:hint="eastAsia" w:ascii="宋体" w:hAnsi="宋体"/>
                <w:szCs w:val="21"/>
              </w:rPr>
              <w:t>型号</w:t>
            </w:r>
          </w:p>
        </w:tc>
        <w:tc>
          <w:tcPr>
            <w:tcW w:w="3332" w:type="dxa"/>
            <w:noWrap w:val="0"/>
            <w:vAlign w:val="center"/>
          </w:tcPr>
          <w:p>
            <w:pPr>
              <w:spacing w:line="360" w:lineRule="auto"/>
              <w:rPr>
                <w:rFonts w:ascii="宋体" w:hAnsi="宋体"/>
                <w:color w:val="000000"/>
                <w:szCs w:val="21"/>
              </w:rPr>
            </w:pPr>
            <w:r>
              <w:rPr>
                <w:rFonts w:hint="eastAsia" w:ascii="宋体" w:hAnsi="宋体"/>
                <w:kern w:val="0"/>
                <w:szCs w:val="21"/>
              </w:rPr>
              <w:t xml:space="preserve"> </w:t>
            </w:r>
            <w:r>
              <w:rPr>
                <w:rFonts w:ascii="宋体" w:hAnsi="宋体"/>
                <w:b/>
                <w:bCs/>
                <w:kern w:val="0"/>
                <w:szCs w:val="21"/>
              </w:rPr>
              <w:t>SCB</w:t>
            </w:r>
            <w:r>
              <w:rPr>
                <w:rFonts w:hint="eastAsia" w:ascii="宋体" w:hAnsi="宋体"/>
                <w:b/>
                <w:bCs/>
                <w:kern w:val="0"/>
                <w:szCs w:val="21"/>
              </w:rPr>
              <w:t>10</w:t>
            </w:r>
            <w:r>
              <w:rPr>
                <w:rFonts w:ascii="宋体" w:hAnsi="宋体"/>
                <w:b/>
                <w:bCs/>
                <w:kern w:val="0"/>
                <w:szCs w:val="21"/>
              </w:rPr>
              <w:t>-</w:t>
            </w:r>
            <w:r>
              <w:rPr>
                <w:rFonts w:hint="eastAsia" w:ascii="宋体" w:hAnsi="宋体"/>
                <w:b/>
                <w:bCs/>
                <w:kern w:val="0"/>
                <w:szCs w:val="21"/>
              </w:rPr>
              <w:t>500</w:t>
            </w:r>
            <w:r>
              <w:rPr>
                <w:rFonts w:ascii="宋体" w:hAnsi="宋体"/>
                <w:b/>
                <w:bCs/>
                <w:kern w:val="0"/>
                <w:szCs w:val="21"/>
              </w:rPr>
              <w:t>/</w:t>
            </w:r>
            <w:r>
              <w:rPr>
                <w:rFonts w:hint="eastAsia" w:ascii="宋体" w:hAnsi="宋体"/>
                <w:b/>
                <w:bCs/>
                <w:kern w:val="0"/>
                <w:szCs w:val="21"/>
              </w:rPr>
              <w:t>10, 10</w:t>
            </w:r>
            <w:r>
              <w:rPr>
                <w:rFonts w:ascii="宋体" w:hAnsi="宋体"/>
                <w:b/>
                <w:bCs/>
                <w:kern w:val="0"/>
                <w:szCs w:val="21"/>
              </w:rPr>
              <w:t xml:space="preserve">±2x2.5/0.4  </w:t>
            </w:r>
            <w:r>
              <w:rPr>
                <w:rFonts w:hint="eastAsia" w:ascii="宋体" w:hAnsi="宋体"/>
                <w:b/>
                <w:bCs/>
                <w:kern w:val="0"/>
                <w:szCs w:val="21"/>
              </w:rPr>
              <w:t>500</w:t>
            </w:r>
            <w:r>
              <w:rPr>
                <w:rFonts w:ascii="宋体" w:hAnsi="宋体"/>
                <w:b/>
                <w:bCs/>
                <w:kern w:val="0"/>
                <w:szCs w:val="21"/>
              </w:rPr>
              <w:t>kVA, D,yn11,Ud=</w:t>
            </w:r>
            <w:r>
              <w:rPr>
                <w:rFonts w:hint="eastAsia" w:ascii="宋体" w:hAnsi="宋体"/>
                <w:b/>
                <w:bCs/>
                <w:kern w:val="0"/>
                <w:szCs w:val="21"/>
              </w:rPr>
              <w:t>4</w:t>
            </w:r>
            <w:r>
              <w:rPr>
                <w:rFonts w:ascii="宋体" w:hAnsi="宋体"/>
                <w:b/>
                <w:bCs/>
                <w:kern w:val="0"/>
                <w:szCs w:val="21"/>
              </w:rPr>
              <w:t>%</w:t>
            </w:r>
            <w:r>
              <w:rPr>
                <w:rFonts w:hint="eastAsia" w:ascii="宋体" w:hAnsi="宋体"/>
                <w:b/>
                <w:bCs/>
                <w:kern w:val="0"/>
                <w:szCs w:val="21"/>
              </w:rPr>
              <w:t xml:space="preserve">       铜芯 </w:t>
            </w:r>
            <w:r>
              <w:rPr>
                <w:rFonts w:hint="eastAsia" w:ascii="宋体" w:hAnsi="宋体"/>
                <w:kern w:val="0"/>
                <w:szCs w:val="21"/>
              </w:rPr>
              <w:t xml:space="preserve">          </w:t>
            </w:r>
          </w:p>
        </w:tc>
        <w:tc>
          <w:tcPr>
            <w:tcW w:w="3602" w:type="dxa"/>
            <w:noWrap w:val="0"/>
            <w:vAlign w:val="center"/>
          </w:tcPr>
          <w:p>
            <w:pPr>
              <w:spacing w:line="360" w:lineRule="auto"/>
              <w:ind w:left="-2" w:leftChars="-1" w:firstLine="430" w:firstLineChars="205"/>
              <w:jc w:val="center"/>
              <w:rPr>
                <w:rFonts w:ascii="宋体" w:hAnsi="宋体"/>
                <w:szCs w:val="21"/>
              </w:rPr>
            </w:pPr>
          </w:p>
        </w:tc>
        <w:tc>
          <w:tcPr>
            <w:tcW w:w="1783" w:type="dxa"/>
            <w:noWrap w:val="0"/>
            <w:vAlign w:val="top"/>
          </w:tcPr>
          <w:p>
            <w:pPr>
              <w:spacing w:line="360" w:lineRule="auto"/>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661" w:type="dxa"/>
            <w:noWrap w:val="0"/>
            <w:vAlign w:val="center"/>
          </w:tcPr>
          <w:p>
            <w:pPr>
              <w:spacing w:line="360" w:lineRule="auto"/>
              <w:jc w:val="center"/>
              <w:rPr>
                <w:rFonts w:ascii="宋体" w:hAnsi="宋体"/>
                <w:szCs w:val="21"/>
              </w:rPr>
            </w:pPr>
            <w:r>
              <w:rPr>
                <w:rFonts w:hint="eastAsia" w:ascii="宋体" w:hAnsi="宋体"/>
                <w:szCs w:val="21"/>
              </w:rPr>
              <w:t>二</w:t>
            </w:r>
          </w:p>
        </w:tc>
        <w:tc>
          <w:tcPr>
            <w:tcW w:w="3332" w:type="dxa"/>
            <w:noWrap w:val="0"/>
            <w:vAlign w:val="center"/>
          </w:tcPr>
          <w:p>
            <w:pPr>
              <w:spacing w:line="360" w:lineRule="auto"/>
              <w:rPr>
                <w:rFonts w:ascii="宋体" w:hAnsi="宋体"/>
                <w:szCs w:val="21"/>
              </w:rPr>
            </w:pPr>
            <w:r>
              <w:rPr>
                <w:rFonts w:hint="eastAsia" w:ascii="宋体" w:hAnsi="宋体"/>
                <w:szCs w:val="21"/>
              </w:rPr>
              <w:t>使用条件</w:t>
            </w:r>
          </w:p>
        </w:tc>
        <w:tc>
          <w:tcPr>
            <w:tcW w:w="3602" w:type="dxa"/>
            <w:noWrap w:val="0"/>
            <w:vAlign w:val="center"/>
          </w:tcPr>
          <w:p>
            <w:pPr>
              <w:spacing w:line="360" w:lineRule="auto"/>
              <w:jc w:val="center"/>
              <w:rPr>
                <w:rFonts w:ascii="宋体" w:hAnsi="宋体"/>
                <w:szCs w:val="21"/>
              </w:rPr>
            </w:pPr>
          </w:p>
        </w:tc>
        <w:tc>
          <w:tcPr>
            <w:tcW w:w="1783" w:type="dxa"/>
            <w:noWrap w:val="0"/>
            <w:vAlign w:val="top"/>
          </w:tcPr>
          <w:p>
            <w:pPr>
              <w:spacing w:line="360" w:lineRule="auto"/>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661" w:type="dxa"/>
            <w:noWrap w:val="0"/>
            <w:vAlign w:val="center"/>
          </w:tcPr>
          <w:p>
            <w:pPr>
              <w:widowControl/>
              <w:spacing w:line="360" w:lineRule="auto"/>
              <w:jc w:val="center"/>
              <w:rPr>
                <w:rFonts w:ascii="宋体" w:hAnsi="宋体" w:cs="宋体"/>
                <w:bCs/>
                <w:kern w:val="0"/>
                <w:szCs w:val="21"/>
              </w:rPr>
            </w:pPr>
            <w:r>
              <w:rPr>
                <w:rFonts w:hint="eastAsia" w:ascii="宋体" w:hAnsi="宋体" w:cs="宋体"/>
                <w:bCs/>
                <w:kern w:val="0"/>
                <w:szCs w:val="21"/>
              </w:rPr>
              <w:t>1</w:t>
            </w:r>
          </w:p>
        </w:tc>
        <w:tc>
          <w:tcPr>
            <w:tcW w:w="3332" w:type="dxa"/>
            <w:noWrap w:val="0"/>
            <w:vAlign w:val="center"/>
          </w:tcPr>
          <w:p>
            <w:pPr>
              <w:widowControl/>
              <w:spacing w:line="360" w:lineRule="auto"/>
              <w:rPr>
                <w:rFonts w:ascii="宋体" w:hAnsi="宋体" w:cs="宋体"/>
                <w:bCs/>
                <w:kern w:val="0"/>
                <w:szCs w:val="21"/>
              </w:rPr>
            </w:pPr>
            <w:r>
              <w:rPr>
                <w:rFonts w:hint="eastAsia" w:ascii="宋体" w:hAnsi="宋体" w:cs="宋体"/>
                <w:bCs/>
                <w:kern w:val="0"/>
                <w:szCs w:val="21"/>
              </w:rPr>
              <w:t>最低～最高气温（°C）</w:t>
            </w:r>
          </w:p>
        </w:tc>
        <w:tc>
          <w:tcPr>
            <w:tcW w:w="3602" w:type="dxa"/>
            <w:noWrap w:val="0"/>
            <w:vAlign w:val="center"/>
          </w:tcPr>
          <w:p>
            <w:pPr>
              <w:spacing w:line="360" w:lineRule="auto"/>
              <w:rPr>
                <w:rFonts w:ascii="宋体" w:hAnsi="宋体" w:cs="宋体"/>
                <w:color w:val="000000"/>
                <w:szCs w:val="21"/>
              </w:rPr>
            </w:pPr>
          </w:p>
        </w:tc>
        <w:tc>
          <w:tcPr>
            <w:tcW w:w="1783" w:type="dxa"/>
            <w:noWrap w:val="0"/>
            <w:vAlign w:val="top"/>
          </w:tcPr>
          <w:p>
            <w:pPr>
              <w:spacing w:line="360" w:lineRule="auto"/>
              <w:rPr>
                <w:rFonts w:ascii="宋体" w:hAnsi="宋体"/>
                <w:szCs w:val="21"/>
                <w:highlight w:val="red"/>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661" w:type="dxa"/>
            <w:noWrap w:val="0"/>
            <w:vAlign w:val="center"/>
          </w:tcPr>
          <w:p>
            <w:pPr>
              <w:widowControl/>
              <w:spacing w:line="360" w:lineRule="auto"/>
              <w:jc w:val="center"/>
              <w:rPr>
                <w:rFonts w:ascii="宋体" w:hAnsi="宋体" w:cs="宋体"/>
                <w:bCs/>
                <w:kern w:val="0"/>
                <w:szCs w:val="21"/>
              </w:rPr>
            </w:pPr>
            <w:r>
              <w:rPr>
                <w:rFonts w:hint="eastAsia" w:ascii="宋体" w:hAnsi="宋体" w:cs="宋体"/>
                <w:bCs/>
                <w:kern w:val="0"/>
                <w:szCs w:val="21"/>
              </w:rPr>
              <w:t>2</w:t>
            </w:r>
          </w:p>
        </w:tc>
        <w:tc>
          <w:tcPr>
            <w:tcW w:w="3332" w:type="dxa"/>
            <w:noWrap w:val="0"/>
            <w:vAlign w:val="center"/>
          </w:tcPr>
          <w:p>
            <w:pPr>
              <w:widowControl/>
              <w:spacing w:line="360" w:lineRule="auto"/>
              <w:rPr>
                <w:rFonts w:ascii="宋体" w:hAnsi="宋体" w:cs="宋体"/>
                <w:bCs/>
                <w:kern w:val="0"/>
                <w:szCs w:val="21"/>
              </w:rPr>
            </w:pPr>
            <w:r>
              <w:rPr>
                <w:rFonts w:hint="eastAsia" w:ascii="宋体" w:hAnsi="宋体"/>
                <w:szCs w:val="21"/>
              </w:rPr>
              <w:t>多年平均相对湿度％</w:t>
            </w:r>
          </w:p>
        </w:tc>
        <w:tc>
          <w:tcPr>
            <w:tcW w:w="3602" w:type="dxa"/>
            <w:noWrap w:val="0"/>
            <w:vAlign w:val="center"/>
          </w:tcPr>
          <w:p>
            <w:pPr>
              <w:spacing w:line="360" w:lineRule="auto"/>
              <w:rPr>
                <w:rFonts w:ascii="宋体" w:hAnsi="宋体" w:cs="宋体"/>
                <w:color w:val="000000"/>
                <w:szCs w:val="21"/>
              </w:rPr>
            </w:pPr>
            <w:r>
              <w:rPr>
                <w:rFonts w:hint="eastAsia" w:ascii="宋体" w:hAnsi="宋体"/>
                <w:color w:val="000000"/>
                <w:szCs w:val="21"/>
              </w:rPr>
              <w:t>　</w:t>
            </w:r>
          </w:p>
        </w:tc>
        <w:tc>
          <w:tcPr>
            <w:tcW w:w="1783" w:type="dxa"/>
            <w:noWrap w:val="0"/>
            <w:vAlign w:val="top"/>
          </w:tcPr>
          <w:p>
            <w:pPr>
              <w:spacing w:line="360" w:lineRule="auto"/>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661" w:type="dxa"/>
            <w:noWrap w:val="0"/>
            <w:vAlign w:val="center"/>
          </w:tcPr>
          <w:p>
            <w:pPr>
              <w:widowControl/>
              <w:spacing w:line="360" w:lineRule="auto"/>
              <w:jc w:val="center"/>
              <w:rPr>
                <w:rFonts w:ascii="宋体" w:hAnsi="宋体" w:cs="宋体"/>
                <w:bCs/>
                <w:kern w:val="0"/>
                <w:szCs w:val="21"/>
              </w:rPr>
            </w:pPr>
            <w:r>
              <w:rPr>
                <w:rFonts w:hint="eastAsia" w:ascii="宋体" w:hAnsi="宋体" w:cs="宋体"/>
                <w:bCs/>
                <w:kern w:val="0"/>
                <w:szCs w:val="21"/>
              </w:rPr>
              <w:t>3</w:t>
            </w:r>
          </w:p>
        </w:tc>
        <w:tc>
          <w:tcPr>
            <w:tcW w:w="3332" w:type="dxa"/>
            <w:noWrap w:val="0"/>
            <w:vAlign w:val="center"/>
          </w:tcPr>
          <w:p>
            <w:pPr>
              <w:widowControl/>
              <w:spacing w:line="360" w:lineRule="auto"/>
              <w:rPr>
                <w:rFonts w:ascii="宋体" w:hAnsi="宋体" w:cs="宋体"/>
                <w:bCs/>
                <w:kern w:val="0"/>
                <w:szCs w:val="21"/>
              </w:rPr>
            </w:pPr>
            <w:r>
              <w:rPr>
                <w:rFonts w:hint="eastAsia" w:ascii="宋体" w:hAnsi="宋体" w:cs="宋体"/>
                <w:bCs/>
                <w:kern w:val="0"/>
                <w:szCs w:val="21"/>
              </w:rPr>
              <w:t>海拔高度（m）</w:t>
            </w:r>
          </w:p>
        </w:tc>
        <w:tc>
          <w:tcPr>
            <w:tcW w:w="3602" w:type="dxa"/>
            <w:noWrap w:val="0"/>
            <w:vAlign w:val="bottom"/>
          </w:tcPr>
          <w:p>
            <w:pPr>
              <w:spacing w:line="360" w:lineRule="auto"/>
              <w:jc w:val="center"/>
              <w:rPr>
                <w:rFonts w:ascii="宋体" w:hAnsi="宋体" w:cs="宋体"/>
                <w:color w:val="000000"/>
                <w:szCs w:val="21"/>
              </w:rPr>
            </w:pPr>
            <w:r>
              <w:rPr>
                <w:rFonts w:hint="eastAsia" w:ascii="宋体" w:hAnsi="宋体"/>
                <w:color w:val="000000"/>
                <w:szCs w:val="21"/>
              </w:rPr>
              <w:t>＜1000</w:t>
            </w:r>
          </w:p>
        </w:tc>
        <w:tc>
          <w:tcPr>
            <w:tcW w:w="1783" w:type="dxa"/>
            <w:noWrap w:val="0"/>
            <w:vAlign w:val="top"/>
          </w:tcPr>
          <w:p>
            <w:pPr>
              <w:spacing w:line="360" w:lineRule="auto"/>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661" w:type="dxa"/>
            <w:noWrap w:val="0"/>
            <w:vAlign w:val="center"/>
          </w:tcPr>
          <w:p>
            <w:pPr>
              <w:widowControl/>
              <w:spacing w:line="360" w:lineRule="auto"/>
              <w:jc w:val="center"/>
              <w:rPr>
                <w:rFonts w:ascii="宋体" w:hAnsi="宋体" w:cs="宋体"/>
                <w:bCs/>
                <w:kern w:val="0"/>
                <w:szCs w:val="21"/>
              </w:rPr>
            </w:pPr>
            <w:r>
              <w:rPr>
                <w:rFonts w:hint="eastAsia" w:ascii="宋体" w:hAnsi="宋体" w:cs="宋体"/>
                <w:bCs/>
                <w:kern w:val="0"/>
                <w:szCs w:val="21"/>
              </w:rPr>
              <w:t>4</w:t>
            </w:r>
          </w:p>
        </w:tc>
        <w:tc>
          <w:tcPr>
            <w:tcW w:w="3332" w:type="dxa"/>
            <w:noWrap w:val="0"/>
            <w:vAlign w:val="center"/>
          </w:tcPr>
          <w:p>
            <w:pPr>
              <w:widowControl/>
              <w:spacing w:line="360" w:lineRule="auto"/>
              <w:rPr>
                <w:rFonts w:ascii="宋体" w:hAnsi="宋体" w:cs="宋体"/>
                <w:bCs/>
                <w:kern w:val="0"/>
                <w:szCs w:val="21"/>
              </w:rPr>
            </w:pPr>
            <w:r>
              <w:rPr>
                <w:rFonts w:hint="eastAsia" w:ascii="宋体" w:hAnsi="宋体" w:cs="宋体"/>
                <w:bCs/>
                <w:kern w:val="0"/>
                <w:szCs w:val="21"/>
              </w:rPr>
              <w:t>耐震能力</w:t>
            </w:r>
          </w:p>
        </w:tc>
        <w:tc>
          <w:tcPr>
            <w:tcW w:w="3602" w:type="dxa"/>
            <w:noWrap w:val="0"/>
            <w:vAlign w:val="center"/>
          </w:tcPr>
          <w:p>
            <w:pPr>
              <w:spacing w:line="360" w:lineRule="auto"/>
              <w:rPr>
                <w:rFonts w:ascii="宋体" w:hAnsi="宋体" w:cs="宋体"/>
                <w:color w:val="000000"/>
                <w:szCs w:val="21"/>
              </w:rPr>
            </w:pPr>
            <w:r>
              <w:rPr>
                <w:rFonts w:hint="eastAsia" w:ascii="宋体" w:hAnsi="宋体"/>
                <w:color w:val="000000"/>
                <w:szCs w:val="21"/>
              </w:rPr>
              <w:t>当地地震烈度</w:t>
            </w:r>
          </w:p>
        </w:tc>
        <w:tc>
          <w:tcPr>
            <w:tcW w:w="1783" w:type="dxa"/>
            <w:noWrap w:val="0"/>
            <w:vAlign w:val="top"/>
          </w:tcPr>
          <w:p>
            <w:pPr>
              <w:spacing w:line="360" w:lineRule="auto"/>
              <w:rPr>
                <w:rFonts w:ascii="宋体" w:hAnsi="宋体"/>
                <w:szCs w:val="21"/>
              </w:rPr>
            </w:pPr>
            <w:r>
              <w:rPr>
                <w:rFonts w:hint="eastAsia" w:ascii="宋体" w:hAnsi="宋体"/>
                <w:szCs w:val="21"/>
              </w:rPr>
              <w:t>应按高一级设防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661" w:type="dxa"/>
            <w:noWrap w:val="0"/>
            <w:vAlign w:val="center"/>
          </w:tcPr>
          <w:p>
            <w:pPr>
              <w:widowControl/>
              <w:spacing w:line="360" w:lineRule="auto"/>
              <w:jc w:val="center"/>
              <w:rPr>
                <w:rFonts w:ascii="宋体" w:hAnsi="宋体" w:cs="宋体"/>
                <w:bCs/>
                <w:kern w:val="0"/>
                <w:szCs w:val="21"/>
              </w:rPr>
            </w:pPr>
            <w:r>
              <w:rPr>
                <w:rFonts w:hint="eastAsia" w:ascii="宋体" w:hAnsi="宋体" w:cs="宋体"/>
                <w:bCs/>
                <w:kern w:val="0"/>
                <w:szCs w:val="21"/>
              </w:rPr>
              <w:t>5</w:t>
            </w:r>
          </w:p>
        </w:tc>
        <w:tc>
          <w:tcPr>
            <w:tcW w:w="3332" w:type="dxa"/>
            <w:noWrap w:val="0"/>
            <w:vAlign w:val="center"/>
          </w:tcPr>
          <w:p>
            <w:pPr>
              <w:widowControl/>
              <w:spacing w:line="360" w:lineRule="auto"/>
              <w:rPr>
                <w:rFonts w:ascii="宋体" w:hAnsi="宋体" w:cs="宋体"/>
                <w:bCs/>
                <w:kern w:val="0"/>
                <w:szCs w:val="21"/>
              </w:rPr>
            </w:pPr>
            <w:r>
              <w:rPr>
                <w:rFonts w:hint="eastAsia" w:ascii="宋体" w:hAnsi="宋体" w:cs="宋体"/>
                <w:bCs/>
                <w:kern w:val="0"/>
                <w:szCs w:val="21"/>
              </w:rPr>
              <w:t>安装地点</w:t>
            </w:r>
          </w:p>
        </w:tc>
        <w:tc>
          <w:tcPr>
            <w:tcW w:w="3602" w:type="dxa"/>
            <w:noWrap w:val="0"/>
            <w:vAlign w:val="center"/>
          </w:tcPr>
          <w:p>
            <w:pPr>
              <w:spacing w:line="360" w:lineRule="auto"/>
              <w:rPr>
                <w:rFonts w:ascii="宋体" w:hAnsi="宋体" w:cs="宋体"/>
                <w:color w:val="000000"/>
                <w:szCs w:val="21"/>
              </w:rPr>
            </w:pPr>
            <w:r>
              <w:rPr>
                <w:rFonts w:hint="eastAsia" w:ascii="宋体" w:hAnsi="宋体"/>
                <w:color w:val="000000"/>
                <w:szCs w:val="21"/>
              </w:rPr>
              <w:t>室内</w:t>
            </w:r>
          </w:p>
        </w:tc>
        <w:tc>
          <w:tcPr>
            <w:tcW w:w="1783" w:type="dxa"/>
            <w:noWrap w:val="0"/>
            <w:vAlign w:val="top"/>
          </w:tcPr>
          <w:p>
            <w:pPr>
              <w:spacing w:line="360" w:lineRule="auto"/>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661" w:type="dxa"/>
            <w:noWrap w:val="0"/>
            <w:vAlign w:val="center"/>
          </w:tcPr>
          <w:p>
            <w:pPr>
              <w:widowControl/>
              <w:spacing w:line="360" w:lineRule="auto"/>
              <w:jc w:val="center"/>
              <w:rPr>
                <w:rFonts w:ascii="宋体" w:hAnsi="宋体" w:cs="宋体"/>
                <w:bCs/>
                <w:kern w:val="0"/>
                <w:szCs w:val="21"/>
              </w:rPr>
            </w:pPr>
            <w:r>
              <w:rPr>
                <w:rFonts w:hint="eastAsia" w:ascii="宋体" w:hAnsi="宋体" w:cs="宋体"/>
                <w:bCs/>
                <w:kern w:val="0"/>
                <w:szCs w:val="21"/>
              </w:rPr>
              <w:t>6</w:t>
            </w:r>
          </w:p>
        </w:tc>
        <w:tc>
          <w:tcPr>
            <w:tcW w:w="3332" w:type="dxa"/>
            <w:noWrap w:val="0"/>
            <w:vAlign w:val="center"/>
          </w:tcPr>
          <w:p>
            <w:pPr>
              <w:widowControl/>
              <w:spacing w:line="360" w:lineRule="auto"/>
              <w:rPr>
                <w:rFonts w:ascii="宋体" w:hAnsi="宋体" w:cs="宋体"/>
                <w:bCs/>
                <w:kern w:val="0"/>
                <w:szCs w:val="21"/>
                <w:highlight w:val="red"/>
              </w:rPr>
            </w:pPr>
            <w:r>
              <w:rPr>
                <w:rFonts w:hint="eastAsia" w:ascii="宋体" w:hAnsi="宋体" w:cs="宋体"/>
                <w:bCs/>
                <w:kern w:val="0"/>
                <w:szCs w:val="21"/>
              </w:rPr>
              <w:t>变压器工作的最高环境温度</w:t>
            </w:r>
          </w:p>
        </w:tc>
        <w:tc>
          <w:tcPr>
            <w:tcW w:w="3602" w:type="dxa"/>
            <w:noWrap w:val="0"/>
            <w:vAlign w:val="center"/>
          </w:tcPr>
          <w:p>
            <w:pPr>
              <w:spacing w:line="360" w:lineRule="auto"/>
              <w:rPr>
                <w:rFonts w:ascii="宋体" w:hAnsi="宋体" w:cs="宋体"/>
                <w:color w:val="000000"/>
                <w:szCs w:val="21"/>
              </w:rPr>
            </w:pPr>
            <w:r>
              <w:rPr>
                <w:rFonts w:hint="eastAsia" w:ascii="宋体" w:hAnsi="宋体"/>
                <w:color w:val="000000"/>
                <w:szCs w:val="21"/>
              </w:rPr>
              <w:t>45℃</w:t>
            </w:r>
          </w:p>
        </w:tc>
        <w:tc>
          <w:tcPr>
            <w:tcW w:w="1783" w:type="dxa"/>
            <w:noWrap w:val="0"/>
            <w:vAlign w:val="top"/>
          </w:tcPr>
          <w:p>
            <w:pPr>
              <w:spacing w:line="360" w:lineRule="auto"/>
              <w:rPr>
                <w:rFonts w:ascii="宋体" w:hAnsi="宋体"/>
                <w:szCs w:val="21"/>
                <w:highlight w:val="red"/>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661" w:type="dxa"/>
            <w:noWrap w:val="0"/>
            <w:vAlign w:val="center"/>
          </w:tcPr>
          <w:p>
            <w:pPr>
              <w:widowControl/>
              <w:spacing w:line="360" w:lineRule="auto"/>
              <w:jc w:val="center"/>
              <w:rPr>
                <w:rFonts w:ascii="宋体" w:hAnsi="宋体" w:cs="宋体"/>
                <w:bCs/>
                <w:kern w:val="0"/>
                <w:szCs w:val="21"/>
              </w:rPr>
            </w:pPr>
            <w:r>
              <w:rPr>
                <w:rFonts w:hint="eastAsia" w:ascii="宋体" w:hAnsi="宋体" w:cs="宋体"/>
                <w:bCs/>
                <w:kern w:val="0"/>
                <w:szCs w:val="21"/>
              </w:rPr>
              <w:t>7</w:t>
            </w:r>
          </w:p>
        </w:tc>
        <w:tc>
          <w:tcPr>
            <w:tcW w:w="3332" w:type="dxa"/>
            <w:noWrap w:val="0"/>
            <w:vAlign w:val="center"/>
          </w:tcPr>
          <w:p>
            <w:pPr>
              <w:widowControl/>
              <w:spacing w:line="360" w:lineRule="auto"/>
              <w:rPr>
                <w:rFonts w:ascii="宋体" w:hAnsi="宋体" w:cs="宋体"/>
                <w:bCs/>
                <w:kern w:val="0"/>
                <w:szCs w:val="21"/>
              </w:rPr>
            </w:pPr>
            <w:r>
              <w:rPr>
                <w:rFonts w:hint="eastAsia" w:ascii="宋体" w:hAnsi="宋体" w:cs="宋体"/>
                <w:bCs/>
                <w:kern w:val="0"/>
                <w:szCs w:val="21"/>
              </w:rPr>
              <w:t>安装方式</w:t>
            </w:r>
          </w:p>
        </w:tc>
        <w:tc>
          <w:tcPr>
            <w:tcW w:w="3602" w:type="dxa"/>
            <w:noWrap w:val="0"/>
            <w:vAlign w:val="center"/>
          </w:tcPr>
          <w:p>
            <w:pPr>
              <w:spacing w:line="360" w:lineRule="auto"/>
              <w:rPr>
                <w:rFonts w:ascii="宋体" w:hAnsi="宋体" w:cs="宋体"/>
                <w:color w:val="000000"/>
                <w:szCs w:val="21"/>
              </w:rPr>
            </w:pPr>
            <w:r>
              <w:rPr>
                <w:rFonts w:hint="eastAsia" w:ascii="宋体" w:hAnsi="宋体"/>
                <w:color w:val="000000"/>
                <w:szCs w:val="21"/>
              </w:rPr>
              <w:t>不靠墙</w:t>
            </w:r>
          </w:p>
        </w:tc>
        <w:tc>
          <w:tcPr>
            <w:tcW w:w="1783" w:type="dxa"/>
            <w:noWrap w:val="0"/>
            <w:vAlign w:val="top"/>
          </w:tcPr>
          <w:p>
            <w:pPr>
              <w:spacing w:line="360" w:lineRule="auto"/>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661" w:type="dxa"/>
            <w:noWrap w:val="0"/>
            <w:vAlign w:val="center"/>
          </w:tcPr>
          <w:p>
            <w:pPr>
              <w:widowControl/>
              <w:spacing w:line="360" w:lineRule="auto"/>
              <w:jc w:val="center"/>
              <w:rPr>
                <w:rFonts w:ascii="宋体" w:hAnsi="宋体" w:cs="宋体"/>
                <w:bCs/>
                <w:kern w:val="0"/>
                <w:szCs w:val="21"/>
              </w:rPr>
            </w:pPr>
            <w:r>
              <w:rPr>
                <w:rFonts w:hint="eastAsia" w:ascii="宋体" w:hAnsi="宋体" w:cs="宋体"/>
                <w:bCs/>
                <w:kern w:val="0"/>
                <w:szCs w:val="21"/>
              </w:rPr>
              <w:t>8</w:t>
            </w:r>
          </w:p>
        </w:tc>
        <w:tc>
          <w:tcPr>
            <w:tcW w:w="3332" w:type="dxa"/>
            <w:noWrap w:val="0"/>
            <w:vAlign w:val="center"/>
          </w:tcPr>
          <w:p>
            <w:pPr>
              <w:widowControl/>
              <w:spacing w:line="360" w:lineRule="auto"/>
              <w:rPr>
                <w:rFonts w:ascii="宋体" w:hAnsi="宋体" w:cs="宋体"/>
                <w:bCs/>
                <w:kern w:val="0"/>
                <w:szCs w:val="21"/>
              </w:rPr>
            </w:pPr>
            <w:r>
              <w:rPr>
                <w:rFonts w:hint="eastAsia" w:ascii="宋体" w:hAnsi="宋体" w:cs="宋体"/>
                <w:bCs/>
                <w:kern w:val="0"/>
                <w:szCs w:val="21"/>
              </w:rPr>
              <w:t>高压侧中性点</w:t>
            </w:r>
          </w:p>
        </w:tc>
        <w:tc>
          <w:tcPr>
            <w:tcW w:w="3602" w:type="dxa"/>
            <w:noWrap w:val="0"/>
            <w:vAlign w:val="center"/>
          </w:tcPr>
          <w:p>
            <w:pPr>
              <w:spacing w:line="360" w:lineRule="auto"/>
              <w:rPr>
                <w:rFonts w:ascii="宋体" w:hAnsi="宋体" w:cs="宋体"/>
                <w:color w:val="000000"/>
                <w:szCs w:val="21"/>
              </w:rPr>
            </w:pPr>
            <w:r>
              <w:rPr>
                <w:rFonts w:hint="eastAsia" w:ascii="宋体" w:hAnsi="宋体"/>
                <w:color w:val="000000"/>
                <w:szCs w:val="21"/>
              </w:rPr>
              <w:t>不接地</w:t>
            </w:r>
          </w:p>
        </w:tc>
        <w:tc>
          <w:tcPr>
            <w:tcW w:w="1783" w:type="dxa"/>
            <w:noWrap w:val="0"/>
            <w:vAlign w:val="top"/>
          </w:tcPr>
          <w:p>
            <w:pPr>
              <w:spacing w:line="360" w:lineRule="auto"/>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661" w:type="dxa"/>
            <w:noWrap w:val="0"/>
            <w:vAlign w:val="center"/>
          </w:tcPr>
          <w:p>
            <w:pPr>
              <w:widowControl/>
              <w:spacing w:line="360" w:lineRule="auto"/>
              <w:jc w:val="center"/>
              <w:rPr>
                <w:rFonts w:ascii="宋体" w:hAnsi="宋体" w:cs="宋体"/>
                <w:bCs/>
                <w:kern w:val="0"/>
                <w:szCs w:val="21"/>
              </w:rPr>
            </w:pPr>
            <w:r>
              <w:rPr>
                <w:rFonts w:hint="eastAsia" w:ascii="宋体" w:hAnsi="宋体" w:cs="宋体"/>
                <w:bCs/>
                <w:kern w:val="0"/>
                <w:szCs w:val="21"/>
              </w:rPr>
              <w:t>9</w:t>
            </w:r>
          </w:p>
        </w:tc>
        <w:tc>
          <w:tcPr>
            <w:tcW w:w="3332" w:type="dxa"/>
            <w:noWrap w:val="0"/>
            <w:vAlign w:val="center"/>
          </w:tcPr>
          <w:p>
            <w:pPr>
              <w:widowControl/>
              <w:spacing w:line="360" w:lineRule="auto"/>
              <w:rPr>
                <w:rFonts w:ascii="宋体" w:hAnsi="宋体" w:cs="宋体"/>
                <w:bCs/>
                <w:kern w:val="0"/>
                <w:szCs w:val="21"/>
              </w:rPr>
            </w:pPr>
            <w:r>
              <w:rPr>
                <w:rFonts w:hint="eastAsia" w:ascii="宋体" w:hAnsi="宋体" w:cs="宋体"/>
                <w:bCs/>
                <w:kern w:val="0"/>
                <w:szCs w:val="21"/>
              </w:rPr>
              <w:t>低压侧中性点</w:t>
            </w:r>
          </w:p>
        </w:tc>
        <w:tc>
          <w:tcPr>
            <w:tcW w:w="3602" w:type="dxa"/>
            <w:noWrap w:val="0"/>
            <w:vAlign w:val="center"/>
          </w:tcPr>
          <w:p>
            <w:pPr>
              <w:spacing w:line="360" w:lineRule="auto"/>
              <w:rPr>
                <w:rFonts w:ascii="宋体" w:hAnsi="宋体" w:cs="宋体"/>
                <w:color w:val="000000"/>
                <w:szCs w:val="21"/>
              </w:rPr>
            </w:pPr>
            <w:r>
              <w:rPr>
                <w:rFonts w:hint="eastAsia" w:ascii="宋体" w:hAnsi="宋体"/>
                <w:color w:val="000000"/>
                <w:szCs w:val="21"/>
              </w:rPr>
              <w:t>直接接地</w:t>
            </w:r>
          </w:p>
        </w:tc>
        <w:tc>
          <w:tcPr>
            <w:tcW w:w="1783" w:type="dxa"/>
            <w:noWrap w:val="0"/>
            <w:vAlign w:val="top"/>
          </w:tcPr>
          <w:p>
            <w:pPr>
              <w:spacing w:line="360" w:lineRule="auto"/>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661" w:type="dxa"/>
            <w:noWrap w:val="0"/>
            <w:vAlign w:val="center"/>
          </w:tcPr>
          <w:p>
            <w:pPr>
              <w:spacing w:line="360" w:lineRule="auto"/>
              <w:jc w:val="center"/>
              <w:rPr>
                <w:rFonts w:ascii="宋体" w:hAnsi="宋体"/>
                <w:szCs w:val="21"/>
              </w:rPr>
            </w:pPr>
            <w:r>
              <w:rPr>
                <w:rFonts w:hint="eastAsia" w:ascii="宋体" w:hAnsi="宋体"/>
                <w:szCs w:val="21"/>
              </w:rPr>
              <w:t>三</w:t>
            </w:r>
          </w:p>
        </w:tc>
        <w:tc>
          <w:tcPr>
            <w:tcW w:w="3332" w:type="dxa"/>
            <w:noWrap w:val="0"/>
            <w:vAlign w:val="center"/>
          </w:tcPr>
          <w:p>
            <w:pPr>
              <w:spacing w:line="360" w:lineRule="auto"/>
              <w:rPr>
                <w:rFonts w:ascii="宋体" w:hAnsi="宋体"/>
                <w:szCs w:val="21"/>
              </w:rPr>
            </w:pPr>
            <w:r>
              <w:rPr>
                <w:rFonts w:hint="eastAsia" w:ascii="宋体" w:hAnsi="宋体"/>
                <w:szCs w:val="21"/>
              </w:rPr>
              <w:t>技术参数</w:t>
            </w:r>
          </w:p>
        </w:tc>
        <w:tc>
          <w:tcPr>
            <w:tcW w:w="3602" w:type="dxa"/>
            <w:noWrap w:val="0"/>
            <w:vAlign w:val="center"/>
          </w:tcPr>
          <w:p>
            <w:pPr>
              <w:spacing w:line="360" w:lineRule="auto"/>
              <w:jc w:val="center"/>
              <w:rPr>
                <w:rFonts w:ascii="宋体" w:hAnsi="宋体"/>
                <w:szCs w:val="21"/>
              </w:rPr>
            </w:pPr>
          </w:p>
        </w:tc>
        <w:tc>
          <w:tcPr>
            <w:tcW w:w="1783" w:type="dxa"/>
            <w:noWrap w:val="0"/>
            <w:vAlign w:val="top"/>
          </w:tcPr>
          <w:p>
            <w:pPr>
              <w:spacing w:line="360" w:lineRule="auto"/>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2" w:hRule="atLeast"/>
        </w:trPr>
        <w:tc>
          <w:tcPr>
            <w:tcW w:w="661" w:type="dxa"/>
            <w:noWrap w:val="0"/>
            <w:vAlign w:val="top"/>
          </w:tcPr>
          <w:p>
            <w:pPr>
              <w:pStyle w:val="41"/>
              <w:spacing w:line="360" w:lineRule="auto"/>
              <w:rPr>
                <w:rFonts w:ascii="宋体" w:hAnsi="宋体" w:cs="Arial"/>
                <w:b w:val="0"/>
                <w:sz w:val="21"/>
                <w:szCs w:val="21"/>
              </w:rPr>
            </w:pPr>
            <w:r>
              <w:rPr>
                <w:rFonts w:hint="eastAsia" w:ascii="宋体" w:hAnsi="宋体" w:cs="Arial"/>
                <w:b w:val="0"/>
                <w:sz w:val="21"/>
                <w:szCs w:val="21"/>
              </w:rPr>
              <w:t>1</w:t>
            </w:r>
          </w:p>
        </w:tc>
        <w:tc>
          <w:tcPr>
            <w:tcW w:w="3332" w:type="dxa"/>
            <w:noWrap w:val="0"/>
            <w:vAlign w:val="top"/>
          </w:tcPr>
          <w:p>
            <w:pPr>
              <w:pStyle w:val="41"/>
              <w:spacing w:line="360" w:lineRule="auto"/>
              <w:jc w:val="both"/>
              <w:rPr>
                <w:rFonts w:ascii="宋体" w:hAnsi="宋体" w:cs="Arial"/>
                <w:b w:val="0"/>
                <w:sz w:val="21"/>
                <w:szCs w:val="21"/>
              </w:rPr>
            </w:pPr>
            <w:r>
              <w:rPr>
                <w:rFonts w:hint="eastAsia" w:ascii="宋体" w:hAnsi="宋体" w:cs="Arial"/>
                <w:b w:val="0"/>
                <w:sz w:val="21"/>
                <w:szCs w:val="21"/>
              </w:rPr>
              <w:t>变压器型号</w:t>
            </w:r>
          </w:p>
        </w:tc>
        <w:tc>
          <w:tcPr>
            <w:tcW w:w="3602" w:type="dxa"/>
            <w:noWrap w:val="0"/>
            <w:vAlign w:val="top"/>
          </w:tcPr>
          <w:p>
            <w:pPr>
              <w:pStyle w:val="41"/>
              <w:spacing w:line="360" w:lineRule="auto"/>
              <w:rPr>
                <w:rFonts w:ascii="宋体" w:hAnsi="宋体" w:cs="Arial"/>
                <w:b w:val="0"/>
                <w:sz w:val="21"/>
                <w:szCs w:val="21"/>
              </w:rPr>
            </w:pPr>
            <w:r>
              <w:rPr>
                <w:rFonts w:hint="eastAsia" w:ascii="宋体" w:hAnsi="宋体" w:cs="宋体"/>
                <w:b w:val="0"/>
                <w:sz w:val="21"/>
                <w:szCs w:val="21"/>
                <w:lang w:val="nb-NO"/>
              </w:rPr>
              <w:t>SCB</w:t>
            </w:r>
            <w:r>
              <w:rPr>
                <w:rFonts w:hint="eastAsia" w:ascii="宋体" w:hAnsi="宋体" w:cs="宋体"/>
                <w:b w:val="0"/>
                <w:sz w:val="21"/>
                <w:szCs w:val="21"/>
              </w:rPr>
              <w:t>10</w:t>
            </w:r>
            <w:r>
              <w:rPr>
                <w:rFonts w:hint="eastAsia" w:ascii="宋体" w:hAnsi="宋体" w:cs="宋体"/>
                <w:b w:val="0"/>
                <w:sz w:val="21"/>
                <w:szCs w:val="21"/>
                <w:lang w:val="nb-NO"/>
              </w:rPr>
              <w:t>-</w:t>
            </w:r>
            <w:r>
              <w:rPr>
                <w:rFonts w:hint="eastAsia" w:ascii="宋体" w:hAnsi="宋体" w:cs="宋体"/>
                <w:b w:val="0"/>
                <w:sz w:val="21"/>
                <w:szCs w:val="21"/>
              </w:rPr>
              <w:t>5</w:t>
            </w:r>
            <w:r>
              <w:rPr>
                <w:rFonts w:hint="eastAsia" w:ascii="宋体" w:hAnsi="宋体" w:cs="宋体"/>
                <w:b w:val="0"/>
                <w:sz w:val="21"/>
                <w:szCs w:val="21"/>
                <w:lang w:val="nb-NO"/>
              </w:rPr>
              <w:t>00KVA</w:t>
            </w:r>
          </w:p>
        </w:tc>
        <w:tc>
          <w:tcPr>
            <w:tcW w:w="1783" w:type="dxa"/>
            <w:noWrap w:val="0"/>
            <w:vAlign w:val="top"/>
          </w:tcPr>
          <w:p>
            <w:pPr>
              <w:spacing w:line="360" w:lineRule="auto"/>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2" w:hRule="atLeast"/>
        </w:trPr>
        <w:tc>
          <w:tcPr>
            <w:tcW w:w="661" w:type="dxa"/>
            <w:noWrap w:val="0"/>
            <w:vAlign w:val="top"/>
          </w:tcPr>
          <w:p>
            <w:pPr>
              <w:pStyle w:val="41"/>
              <w:spacing w:line="360" w:lineRule="auto"/>
              <w:rPr>
                <w:rFonts w:ascii="宋体" w:hAnsi="宋体" w:cs="Arial"/>
                <w:b w:val="0"/>
                <w:sz w:val="21"/>
                <w:szCs w:val="21"/>
              </w:rPr>
            </w:pPr>
            <w:r>
              <w:rPr>
                <w:rFonts w:hint="eastAsia" w:ascii="宋体" w:hAnsi="宋体" w:cs="Arial"/>
                <w:b w:val="0"/>
                <w:sz w:val="21"/>
                <w:szCs w:val="21"/>
              </w:rPr>
              <w:t>2</w:t>
            </w:r>
          </w:p>
        </w:tc>
        <w:tc>
          <w:tcPr>
            <w:tcW w:w="3332" w:type="dxa"/>
            <w:noWrap w:val="0"/>
            <w:vAlign w:val="top"/>
          </w:tcPr>
          <w:p>
            <w:pPr>
              <w:pStyle w:val="41"/>
              <w:spacing w:line="360" w:lineRule="auto"/>
              <w:jc w:val="both"/>
              <w:rPr>
                <w:rFonts w:ascii="宋体" w:hAnsi="宋体" w:cs="Arial"/>
                <w:b w:val="0"/>
                <w:sz w:val="21"/>
                <w:szCs w:val="21"/>
              </w:rPr>
            </w:pPr>
            <w:r>
              <w:rPr>
                <w:rFonts w:hint="eastAsia" w:ascii="宋体" w:hAnsi="宋体" w:cs="Arial"/>
                <w:b w:val="0"/>
                <w:sz w:val="21"/>
                <w:szCs w:val="21"/>
              </w:rPr>
              <w:t>铁芯材质</w:t>
            </w:r>
          </w:p>
        </w:tc>
        <w:tc>
          <w:tcPr>
            <w:tcW w:w="3602" w:type="dxa"/>
            <w:noWrap w:val="0"/>
            <w:vAlign w:val="top"/>
          </w:tcPr>
          <w:p>
            <w:pPr>
              <w:pStyle w:val="41"/>
              <w:spacing w:line="360" w:lineRule="auto"/>
              <w:rPr>
                <w:rFonts w:ascii="宋体" w:hAnsi="宋体" w:cs="Arial"/>
                <w:b w:val="0"/>
                <w:sz w:val="21"/>
                <w:szCs w:val="21"/>
              </w:rPr>
            </w:pPr>
            <w:r>
              <w:rPr>
                <w:rFonts w:hint="eastAsia" w:ascii="宋体" w:hAnsi="宋体" w:cs="Arial"/>
                <w:b w:val="0"/>
                <w:sz w:val="21"/>
                <w:szCs w:val="21"/>
              </w:rPr>
              <w:t>冷轧取向硅钢片</w:t>
            </w:r>
          </w:p>
        </w:tc>
        <w:tc>
          <w:tcPr>
            <w:tcW w:w="1783" w:type="dxa"/>
            <w:noWrap w:val="0"/>
            <w:vAlign w:val="top"/>
          </w:tcPr>
          <w:p>
            <w:pPr>
              <w:spacing w:line="360" w:lineRule="auto"/>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2" w:hRule="atLeast"/>
        </w:trPr>
        <w:tc>
          <w:tcPr>
            <w:tcW w:w="661" w:type="dxa"/>
            <w:noWrap w:val="0"/>
            <w:vAlign w:val="top"/>
          </w:tcPr>
          <w:p>
            <w:pPr>
              <w:pStyle w:val="41"/>
              <w:spacing w:line="360" w:lineRule="auto"/>
              <w:rPr>
                <w:rFonts w:ascii="宋体" w:hAnsi="宋体" w:cs="Arial"/>
                <w:b w:val="0"/>
                <w:sz w:val="21"/>
                <w:szCs w:val="21"/>
              </w:rPr>
            </w:pPr>
            <w:r>
              <w:rPr>
                <w:rFonts w:hint="eastAsia" w:ascii="宋体" w:hAnsi="宋体" w:cs="Arial"/>
                <w:b w:val="0"/>
                <w:sz w:val="21"/>
                <w:szCs w:val="21"/>
              </w:rPr>
              <w:t>3</w:t>
            </w:r>
          </w:p>
        </w:tc>
        <w:tc>
          <w:tcPr>
            <w:tcW w:w="3332" w:type="dxa"/>
            <w:noWrap w:val="0"/>
            <w:vAlign w:val="top"/>
          </w:tcPr>
          <w:p>
            <w:pPr>
              <w:pStyle w:val="41"/>
              <w:spacing w:line="360" w:lineRule="auto"/>
              <w:jc w:val="both"/>
              <w:rPr>
                <w:rFonts w:ascii="宋体" w:hAnsi="宋体" w:cs="Arial"/>
                <w:b w:val="0"/>
                <w:sz w:val="21"/>
                <w:szCs w:val="21"/>
              </w:rPr>
            </w:pPr>
            <w:r>
              <w:rPr>
                <w:rFonts w:hint="eastAsia" w:ascii="宋体" w:hAnsi="宋体" w:cs="Arial"/>
                <w:b w:val="0"/>
                <w:sz w:val="21"/>
                <w:szCs w:val="21"/>
              </w:rPr>
              <w:t>铁芯结构</w:t>
            </w:r>
          </w:p>
        </w:tc>
        <w:tc>
          <w:tcPr>
            <w:tcW w:w="3602" w:type="dxa"/>
            <w:noWrap w:val="0"/>
            <w:vAlign w:val="top"/>
          </w:tcPr>
          <w:p>
            <w:pPr>
              <w:pStyle w:val="41"/>
              <w:spacing w:line="360" w:lineRule="auto"/>
              <w:rPr>
                <w:rFonts w:ascii="宋体" w:hAnsi="宋体" w:cs="Arial"/>
                <w:b w:val="0"/>
                <w:sz w:val="21"/>
                <w:szCs w:val="21"/>
              </w:rPr>
            </w:pPr>
            <w:r>
              <w:rPr>
                <w:rFonts w:hint="eastAsia" w:ascii="宋体" w:hAnsi="宋体" w:cs="Arial"/>
                <w:b w:val="0"/>
                <w:sz w:val="21"/>
                <w:szCs w:val="21"/>
              </w:rPr>
              <w:t>叠铁芯</w:t>
            </w:r>
          </w:p>
        </w:tc>
        <w:tc>
          <w:tcPr>
            <w:tcW w:w="1783" w:type="dxa"/>
            <w:noWrap w:val="0"/>
            <w:vAlign w:val="top"/>
          </w:tcPr>
          <w:p>
            <w:pPr>
              <w:spacing w:line="360" w:lineRule="auto"/>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2" w:hRule="atLeast"/>
        </w:trPr>
        <w:tc>
          <w:tcPr>
            <w:tcW w:w="661" w:type="dxa"/>
            <w:noWrap w:val="0"/>
            <w:vAlign w:val="top"/>
          </w:tcPr>
          <w:p>
            <w:pPr>
              <w:pStyle w:val="41"/>
              <w:spacing w:line="360" w:lineRule="auto"/>
              <w:rPr>
                <w:rFonts w:ascii="宋体" w:hAnsi="宋体" w:cs="Arial"/>
                <w:b w:val="0"/>
                <w:sz w:val="21"/>
                <w:szCs w:val="21"/>
              </w:rPr>
            </w:pPr>
            <w:r>
              <w:rPr>
                <w:rFonts w:hint="eastAsia" w:ascii="宋体" w:hAnsi="宋体" w:cs="Arial"/>
                <w:b w:val="0"/>
                <w:sz w:val="21"/>
                <w:szCs w:val="21"/>
              </w:rPr>
              <w:t>4</w:t>
            </w:r>
          </w:p>
        </w:tc>
        <w:tc>
          <w:tcPr>
            <w:tcW w:w="3332" w:type="dxa"/>
            <w:noWrap w:val="0"/>
            <w:vAlign w:val="top"/>
          </w:tcPr>
          <w:p>
            <w:pPr>
              <w:pStyle w:val="41"/>
              <w:spacing w:line="360" w:lineRule="auto"/>
              <w:jc w:val="both"/>
              <w:rPr>
                <w:rFonts w:ascii="宋体" w:hAnsi="宋体" w:cs="Arial"/>
                <w:b w:val="0"/>
                <w:sz w:val="21"/>
                <w:szCs w:val="21"/>
              </w:rPr>
            </w:pPr>
            <w:r>
              <w:rPr>
                <w:rFonts w:hint="eastAsia" w:ascii="宋体" w:hAnsi="宋体" w:cs="Arial"/>
                <w:b w:val="0"/>
                <w:sz w:val="21"/>
                <w:szCs w:val="21"/>
              </w:rPr>
              <w:t>相数</w:t>
            </w:r>
          </w:p>
        </w:tc>
        <w:tc>
          <w:tcPr>
            <w:tcW w:w="3602" w:type="dxa"/>
            <w:noWrap w:val="0"/>
            <w:vAlign w:val="top"/>
          </w:tcPr>
          <w:p>
            <w:pPr>
              <w:pStyle w:val="41"/>
              <w:spacing w:line="360" w:lineRule="auto"/>
              <w:rPr>
                <w:rFonts w:ascii="宋体" w:hAnsi="宋体" w:cs="Arial"/>
                <w:b w:val="0"/>
                <w:sz w:val="21"/>
                <w:szCs w:val="21"/>
              </w:rPr>
            </w:pPr>
            <w:r>
              <w:rPr>
                <w:rFonts w:hint="eastAsia" w:ascii="宋体" w:hAnsi="宋体" w:cs="Arial"/>
                <w:b w:val="0"/>
                <w:sz w:val="21"/>
                <w:szCs w:val="21"/>
              </w:rPr>
              <w:t>三相</w:t>
            </w:r>
          </w:p>
        </w:tc>
        <w:tc>
          <w:tcPr>
            <w:tcW w:w="1783" w:type="dxa"/>
            <w:noWrap w:val="0"/>
            <w:vAlign w:val="top"/>
          </w:tcPr>
          <w:p>
            <w:pPr>
              <w:spacing w:line="360" w:lineRule="auto"/>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2" w:hRule="atLeast"/>
        </w:trPr>
        <w:tc>
          <w:tcPr>
            <w:tcW w:w="661" w:type="dxa"/>
            <w:noWrap w:val="0"/>
            <w:vAlign w:val="top"/>
          </w:tcPr>
          <w:p>
            <w:pPr>
              <w:pStyle w:val="41"/>
              <w:spacing w:line="360" w:lineRule="auto"/>
              <w:rPr>
                <w:rFonts w:ascii="宋体" w:hAnsi="宋体" w:cs="Arial"/>
                <w:b w:val="0"/>
                <w:sz w:val="21"/>
                <w:szCs w:val="21"/>
              </w:rPr>
            </w:pPr>
            <w:r>
              <w:rPr>
                <w:rFonts w:hint="eastAsia" w:ascii="宋体" w:hAnsi="宋体" w:cs="Arial"/>
                <w:b w:val="0"/>
                <w:sz w:val="21"/>
                <w:szCs w:val="21"/>
              </w:rPr>
              <w:t>5</w:t>
            </w:r>
          </w:p>
        </w:tc>
        <w:tc>
          <w:tcPr>
            <w:tcW w:w="3332" w:type="dxa"/>
            <w:noWrap w:val="0"/>
            <w:vAlign w:val="top"/>
          </w:tcPr>
          <w:p>
            <w:pPr>
              <w:pStyle w:val="41"/>
              <w:spacing w:line="360" w:lineRule="auto"/>
              <w:jc w:val="both"/>
              <w:rPr>
                <w:rFonts w:ascii="宋体" w:hAnsi="宋体" w:cs="Arial"/>
                <w:b w:val="0"/>
                <w:sz w:val="21"/>
                <w:szCs w:val="21"/>
              </w:rPr>
            </w:pPr>
            <w:r>
              <w:rPr>
                <w:rFonts w:hint="eastAsia" w:ascii="宋体" w:hAnsi="宋体" w:cs="Arial"/>
                <w:b w:val="0"/>
                <w:sz w:val="21"/>
                <w:szCs w:val="21"/>
              </w:rPr>
              <w:t>高压绕组</w:t>
            </w:r>
          </w:p>
        </w:tc>
        <w:tc>
          <w:tcPr>
            <w:tcW w:w="3602" w:type="dxa"/>
            <w:noWrap w:val="0"/>
            <w:vAlign w:val="top"/>
          </w:tcPr>
          <w:p>
            <w:pPr>
              <w:pStyle w:val="41"/>
              <w:spacing w:line="360" w:lineRule="auto"/>
              <w:rPr>
                <w:rFonts w:ascii="宋体" w:hAnsi="宋体" w:cs="Arial"/>
                <w:b w:val="0"/>
                <w:sz w:val="21"/>
                <w:szCs w:val="21"/>
              </w:rPr>
            </w:pPr>
            <w:r>
              <w:rPr>
                <w:rFonts w:hint="eastAsia" w:ascii="宋体" w:hAnsi="宋体" w:cs="宋体"/>
                <w:b w:val="0"/>
                <w:sz w:val="21"/>
                <w:szCs w:val="21"/>
                <w:lang w:val="nb-NO"/>
              </w:rPr>
              <w:t>10</w:t>
            </w:r>
          </w:p>
        </w:tc>
        <w:tc>
          <w:tcPr>
            <w:tcW w:w="1783" w:type="dxa"/>
            <w:noWrap w:val="0"/>
            <w:vAlign w:val="top"/>
          </w:tcPr>
          <w:p>
            <w:pPr>
              <w:spacing w:line="360" w:lineRule="auto"/>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2" w:hRule="atLeast"/>
        </w:trPr>
        <w:tc>
          <w:tcPr>
            <w:tcW w:w="661" w:type="dxa"/>
            <w:noWrap w:val="0"/>
            <w:vAlign w:val="top"/>
          </w:tcPr>
          <w:p>
            <w:pPr>
              <w:pStyle w:val="41"/>
              <w:spacing w:line="360" w:lineRule="auto"/>
              <w:rPr>
                <w:rFonts w:ascii="宋体" w:hAnsi="宋体" w:cs="Arial"/>
                <w:b w:val="0"/>
                <w:sz w:val="21"/>
                <w:szCs w:val="21"/>
              </w:rPr>
            </w:pPr>
            <w:r>
              <w:rPr>
                <w:rFonts w:hint="eastAsia" w:ascii="宋体" w:hAnsi="宋体" w:cs="Arial"/>
                <w:b w:val="0"/>
                <w:sz w:val="21"/>
                <w:szCs w:val="21"/>
              </w:rPr>
              <w:t>6</w:t>
            </w:r>
          </w:p>
        </w:tc>
        <w:tc>
          <w:tcPr>
            <w:tcW w:w="3332" w:type="dxa"/>
            <w:noWrap w:val="0"/>
            <w:vAlign w:val="top"/>
          </w:tcPr>
          <w:p>
            <w:pPr>
              <w:pStyle w:val="41"/>
              <w:spacing w:line="360" w:lineRule="auto"/>
              <w:jc w:val="both"/>
              <w:rPr>
                <w:rFonts w:ascii="宋体" w:hAnsi="宋体" w:cs="Arial"/>
                <w:b w:val="0"/>
                <w:sz w:val="21"/>
                <w:szCs w:val="21"/>
              </w:rPr>
            </w:pPr>
            <w:r>
              <w:rPr>
                <w:rFonts w:hint="eastAsia" w:ascii="宋体" w:hAnsi="宋体" w:cs="Arial"/>
                <w:b w:val="0"/>
                <w:sz w:val="21"/>
                <w:szCs w:val="21"/>
              </w:rPr>
              <w:t>低压绕组</w:t>
            </w:r>
          </w:p>
        </w:tc>
        <w:tc>
          <w:tcPr>
            <w:tcW w:w="3602" w:type="dxa"/>
            <w:noWrap w:val="0"/>
            <w:vAlign w:val="top"/>
          </w:tcPr>
          <w:p>
            <w:pPr>
              <w:pStyle w:val="41"/>
              <w:spacing w:line="360" w:lineRule="auto"/>
              <w:rPr>
                <w:rFonts w:ascii="宋体" w:hAnsi="宋体" w:cs="Arial"/>
                <w:b w:val="0"/>
                <w:sz w:val="21"/>
                <w:szCs w:val="21"/>
              </w:rPr>
            </w:pPr>
            <w:r>
              <w:rPr>
                <w:rFonts w:hint="eastAsia" w:ascii="宋体" w:hAnsi="宋体" w:cs="宋体"/>
                <w:b w:val="0"/>
                <w:sz w:val="21"/>
                <w:szCs w:val="21"/>
                <w:lang w:val="nb-NO"/>
              </w:rPr>
              <w:t>0.4</w:t>
            </w:r>
          </w:p>
        </w:tc>
        <w:tc>
          <w:tcPr>
            <w:tcW w:w="1783" w:type="dxa"/>
            <w:noWrap w:val="0"/>
            <w:vAlign w:val="top"/>
          </w:tcPr>
          <w:p>
            <w:pPr>
              <w:spacing w:line="360" w:lineRule="auto"/>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2" w:hRule="atLeast"/>
        </w:trPr>
        <w:tc>
          <w:tcPr>
            <w:tcW w:w="661" w:type="dxa"/>
            <w:noWrap w:val="0"/>
            <w:vAlign w:val="top"/>
          </w:tcPr>
          <w:p>
            <w:pPr>
              <w:pStyle w:val="41"/>
              <w:spacing w:line="360" w:lineRule="auto"/>
              <w:rPr>
                <w:rFonts w:ascii="宋体" w:hAnsi="宋体" w:cs="Arial"/>
                <w:b w:val="0"/>
                <w:sz w:val="21"/>
                <w:szCs w:val="21"/>
              </w:rPr>
            </w:pPr>
            <w:r>
              <w:rPr>
                <w:rFonts w:hint="eastAsia" w:ascii="宋体" w:hAnsi="宋体" w:cs="Arial"/>
                <w:b w:val="0"/>
                <w:sz w:val="21"/>
                <w:szCs w:val="21"/>
              </w:rPr>
              <w:t>7</w:t>
            </w:r>
          </w:p>
        </w:tc>
        <w:tc>
          <w:tcPr>
            <w:tcW w:w="3332" w:type="dxa"/>
            <w:noWrap w:val="0"/>
            <w:vAlign w:val="top"/>
          </w:tcPr>
          <w:p>
            <w:pPr>
              <w:pStyle w:val="41"/>
              <w:spacing w:line="360" w:lineRule="auto"/>
              <w:jc w:val="both"/>
              <w:rPr>
                <w:rFonts w:ascii="宋体" w:hAnsi="宋体" w:cs="Arial"/>
                <w:b w:val="0"/>
                <w:sz w:val="21"/>
                <w:szCs w:val="21"/>
              </w:rPr>
            </w:pPr>
            <w:r>
              <w:rPr>
                <w:rFonts w:hint="eastAsia" w:ascii="宋体" w:hAnsi="宋体" w:cs="Arial"/>
                <w:b w:val="0"/>
                <w:sz w:val="21"/>
                <w:szCs w:val="21"/>
              </w:rPr>
              <w:t>联结组别</w:t>
            </w:r>
          </w:p>
        </w:tc>
        <w:tc>
          <w:tcPr>
            <w:tcW w:w="3602" w:type="dxa"/>
            <w:noWrap w:val="0"/>
            <w:vAlign w:val="top"/>
          </w:tcPr>
          <w:p>
            <w:pPr>
              <w:pStyle w:val="41"/>
              <w:spacing w:line="360" w:lineRule="auto"/>
              <w:rPr>
                <w:rFonts w:ascii="宋体" w:hAnsi="宋体" w:cs="Arial"/>
                <w:b w:val="0"/>
                <w:sz w:val="21"/>
                <w:szCs w:val="21"/>
              </w:rPr>
            </w:pPr>
            <w:r>
              <w:rPr>
                <w:rFonts w:hint="eastAsia" w:ascii="宋体" w:hAnsi="宋体" w:cs="宋体"/>
                <w:b w:val="0"/>
                <w:sz w:val="21"/>
                <w:szCs w:val="21"/>
                <w:lang w:val="nb-NO"/>
              </w:rPr>
              <w:t>Dyn11</w:t>
            </w:r>
          </w:p>
        </w:tc>
        <w:tc>
          <w:tcPr>
            <w:tcW w:w="1783" w:type="dxa"/>
            <w:noWrap w:val="0"/>
            <w:vAlign w:val="top"/>
          </w:tcPr>
          <w:p>
            <w:pPr>
              <w:spacing w:line="360" w:lineRule="auto"/>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2" w:hRule="atLeast"/>
        </w:trPr>
        <w:tc>
          <w:tcPr>
            <w:tcW w:w="661" w:type="dxa"/>
            <w:noWrap w:val="0"/>
            <w:vAlign w:val="top"/>
          </w:tcPr>
          <w:p>
            <w:pPr>
              <w:pStyle w:val="41"/>
              <w:spacing w:line="360" w:lineRule="auto"/>
              <w:rPr>
                <w:rFonts w:ascii="宋体" w:hAnsi="宋体" w:cs="Arial"/>
                <w:b w:val="0"/>
                <w:sz w:val="21"/>
                <w:szCs w:val="21"/>
              </w:rPr>
            </w:pPr>
            <w:r>
              <w:rPr>
                <w:rFonts w:hint="eastAsia" w:ascii="宋体" w:hAnsi="宋体" w:cs="Arial"/>
                <w:b w:val="0"/>
                <w:sz w:val="21"/>
                <w:szCs w:val="21"/>
              </w:rPr>
              <w:t>8</w:t>
            </w:r>
          </w:p>
        </w:tc>
        <w:tc>
          <w:tcPr>
            <w:tcW w:w="3332" w:type="dxa"/>
            <w:noWrap w:val="0"/>
            <w:vAlign w:val="top"/>
          </w:tcPr>
          <w:p>
            <w:pPr>
              <w:pStyle w:val="41"/>
              <w:spacing w:line="360" w:lineRule="auto"/>
              <w:jc w:val="both"/>
              <w:rPr>
                <w:rFonts w:ascii="宋体" w:hAnsi="宋体" w:cs="Arial"/>
                <w:b w:val="0"/>
                <w:sz w:val="21"/>
                <w:szCs w:val="21"/>
              </w:rPr>
            </w:pPr>
            <w:r>
              <w:rPr>
                <w:rFonts w:hint="eastAsia" w:ascii="宋体" w:hAnsi="宋体" w:cs="Arial"/>
                <w:b w:val="0"/>
                <w:sz w:val="21"/>
                <w:szCs w:val="21"/>
              </w:rPr>
              <w:t>额定频率</w:t>
            </w:r>
          </w:p>
        </w:tc>
        <w:tc>
          <w:tcPr>
            <w:tcW w:w="3602" w:type="dxa"/>
            <w:noWrap w:val="0"/>
            <w:vAlign w:val="top"/>
          </w:tcPr>
          <w:p>
            <w:pPr>
              <w:pStyle w:val="41"/>
              <w:spacing w:line="360" w:lineRule="auto"/>
              <w:rPr>
                <w:rFonts w:ascii="宋体" w:hAnsi="宋体" w:cs="Arial"/>
                <w:b w:val="0"/>
                <w:sz w:val="21"/>
                <w:szCs w:val="21"/>
              </w:rPr>
            </w:pPr>
            <w:r>
              <w:rPr>
                <w:rFonts w:hint="eastAsia" w:ascii="宋体" w:hAnsi="宋体" w:cs="Arial"/>
                <w:b w:val="0"/>
                <w:sz w:val="21"/>
                <w:szCs w:val="21"/>
              </w:rPr>
              <w:t>50</w:t>
            </w:r>
          </w:p>
        </w:tc>
        <w:tc>
          <w:tcPr>
            <w:tcW w:w="1783" w:type="dxa"/>
            <w:noWrap w:val="0"/>
            <w:vAlign w:val="top"/>
          </w:tcPr>
          <w:p>
            <w:pPr>
              <w:spacing w:line="360" w:lineRule="auto"/>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2" w:hRule="atLeast"/>
        </w:trPr>
        <w:tc>
          <w:tcPr>
            <w:tcW w:w="661" w:type="dxa"/>
            <w:noWrap w:val="0"/>
            <w:vAlign w:val="top"/>
          </w:tcPr>
          <w:p>
            <w:pPr>
              <w:pStyle w:val="41"/>
              <w:spacing w:line="360" w:lineRule="auto"/>
              <w:rPr>
                <w:rFonts w:ascii="宋体" w:hAnsi="宋体" w:cs="Arial"/>
                <w:b w:val="0"/>
                <w:sz w:val="21"/>
                <w:szCs w:val="21"/>
              </w:rPr>
            </w:pPr>
            <w:r>
              <w:rPr>
                <w:rFonts w:hint="eastAsia" w:ascii="宋体" w:hAnsi="宋体" w:cs="Arial"/>
                <w:b w:val="0"/>
                <w:sz w:val="21"/>
                <w:szCs w:val="21"/>
              </w:rPr>
              <w:t>9</w:t>
            </w:r>
          </w:p>
        </w:tc>
        <w:tc>
          <w:tcPr>
            <w:tcW w:w="3332" w:type="dxa"/>
            <w:noWrap w:val="0"/>
            <w:vAlign w:val="top"/>
          </w:tcPr>
          <w:p>
            <w:pPr>
              <w:pStyle w:val="41"/>
              <w:spacing w:line="360" w:lineRule="auto"/>
              <w:jc w:val="both"/>
              <w:rPr>
                <w:rFonts w:ascii="宋体" w:hAnsi="宋体" w:cs="Arial"/>
                <w:b w:val="0"/>
                <w:sz w:val="21"/>
                <w:szCs w:val="21"/>
              </w:rPr>
            </w:pPr>
            <w:r>
              <w:rPr>
                <w:rFonts w:hint="eastAsia" w:ascii="宋体" w:hAnsi="宋体" w:cs="Arial"/>
                <w:b w:val="0"/>
                <w:sz w:val="21"/>
                <w:szCs w:val="21"/>
              </w:rPr>
              <w:t>额定容量</w:t>
            </w:r>
          </w:p>
        </w:tc>
        <w:tc>
          <w:tcPr>
            <w:tcW w:w="3602" w:type="dxa"/>
            <w:noWrap w:val="0"/>
            <w:vAlign w:val="top"/>
          </w:tcPr>
          <w:p>
            <w:pPr>
              <w:pStyle w:val="41"/>
              <w:spacing w:line="360" w:lineRule="auto"/>
              <w:rPr>
                <w:rFonts w:ascii="宋体" w:hAnsi="宋体" w:cs="Arial"/>
                <w:b w:val="0"/>
                <w:sz w:val="21"/>
                <w:szCs w:val="21"/>
              </w:rPr>
            </w:pPr>
            <w:r>
              <w:rPr>
                <w:rFonts w:hint="eastAsia" w:ascii="宋体" w:hAnsi="宋体" w:cs="Arial"/>
                <w:b w:val="0"/>
                <w:sz w:val="21"/>
                <w:szCs w:val="21"/>
              </w:rPr>
              <w:t>500</w:t>
            </w:r>
          </w:p>
        </w:tc>
        <w:tc>
          <w:tcPr>
            <w:tcW w:w="1783" w:type="dxa"/>
            <w:noWrap w:val="0"/>
            <w:vAlign w:val="top"/>
          </w:tcPr>
          <w:p>
            <w:pPr>
              <w:spacing w:line="360" w:lineRule="auto"/>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2" w:hRule="atLeast"/>
        </w:trPr>
        <w:tc>
          <w:tcPr>
            <w:tcW w:w="661" w:type="dxa"/>
            <w:noWrap w:val="0"/>
            <w:vAlign w:val="top"/>
          </w:tcPr>
          <w:p>
            <w:pPr>
              <w:pStyle w:val="41"/>
              <w:spacing w:line="360" w:lineRule="auto"/>
              <w:rPr>
                <w:rFonts w:ascii="宋体" w:hAnsi="宋体" w:cs="Arial"/>
                <w:b w:val="0"/>
                <w:sz w:val="21"/>
                <w:szCs w:val="21"/>
              </w:rPr>
            </w:pPr>
            <w:r>
              <w:rPr>
                <w:rFonts w:hint="eastAsia" w:ascii="宋体" w:hAnsi="宋体" w:cs="Arial"/>
                <w:b w:val="0"/>
                <w:sz w:val="21"/>
                <w:szCs w:val="21"/>
              </w:rPr>
              <w:t>10</w:t>
            </w:r>
          </w:p>
        </w:tc>
        <w:tc>
          <w:tcPr>
            <w:tcW w:w="3332" w:type="dxa"/>
            <w:noWrap w:val="0"/>
            <w:vAlign w:val="top"/>
          </w:tcPr>
          <w:p>
            <w:pPr>
              <w:pStyle w:val="41"/>
              <w:spacing w:line="360" w:lineRule="auto"/>
              <w:jc w:val="both"/>
              <w:rPr>
                <w:rFonts w:ascii="宋体" w:hAnsi="宋体" w:cs="Arial"/>
                <w:b w:val="0"/>
                <w:sz w:val="21"/>
                <w:szCs w:val="21"/>
              </w:rPr>
            </w:pPr>
            <w:r>
              <w:rPr>
                <w:rFonts w:hint="eastAsia" w:ascii="宋体" w:hAnsi="宋体" w:cs="Arial"/>
                <w:b w:val="0"/>
                <w:sz w:val="21"/>
                <w:szCs w:val="21"/>
              </w:rPr>
              <w:t>最高电压</w:t>
            </w:r>
          </w:p>
        </w:tc>
        <w:tc>
          <w:tcPr>
            <w:tcW w:w="3602" w:type="dxa"/>
            <w:noWrap w:val="0"/>
            <w:vAlign w:val="top"/>
          </w:tcPr>
          <w:p>
            <w:pPr>
              <w:pStyle w:val="41"/>
              <w:spacing w:line="360" w:lineRule="auto"/>
              <w:rPr>
                <w:rFonts w:ascii="宋体" w:hAnsi="宋体" w:cs="Arial"/>
                <w:b w:val="0"/>
                <w:sz w:val="21"/>
                <w:szCs w:val="21"/>
              </w:rPr>
            </w:pPr>
            <w:r>
              <w:rPr>
                <w:rFonts w:hint="eastAsia" w:ascii="宋体" w:hAnsi="宋体" w:cs="Arial"/>
                <w:b w:val="0"/>
                <w:sz w:val="21"/>
                <w:szCs w:val="21"/>
              </w:rPr>
              <w:t>12</w:t>
            </w:r>
          </w:p>
        </w:tc>
        <w:tc>
          <w:tcPr>
            <w:tcW w:w="1783" w:type="dxa"/>
            <w:noWrap w:val="0"/>
            <w:vAlign w:val="top"/>
          </w:tcPr>
          <w:p>
            <w:pPr>
              <w:spacing w:line="360" w:lineRule="auto"/>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2" w:hRule="atLeast"/>
        </w:trPr>
        <w:tc>
          <w:tcPr>
            <w:tcW w:w="661" w:type="dxa"/>
            <w:noWrap w:val="0"/>
            <w:vAlign w:val="top"/>
          </w:tcPr>
          <w:p>
            <w:pPr>
              <w:pStyle w:val="41"/>
              <w:spacing w:line="360" w:lineRule="auto"/>
              <w:rPr>
                <w:rFonts w:ascii="宋体" w:hAnsi="宋体" w:cs="Arial"/>
                <w:b w:val="0"/>
                <w:sz w:val="21"/>
                <w:szCs w:val="21"/>
              </w:rPr>
            </w:pPr>
            <w:r>
              <w:rPr>
                <w:rFonts w:hint="eastAsia" w:ascii="宋体" w:hAnsi="宋体" w:cs="Arial"/>
                <w:b w:val="0"/>
                <w:sz w:val="21"/>
                <w:szCs w:val="21"/>
              </w:rPr>
              <w:t>11</w:t>
            </w:r>
          </w:p>
        </w:tc>
        <w:tc>
          <w:tcPr>
            <w:tcW w:w="3332" w:type="dxa"/>
            <w:noWrap w:val="0"/>
            <w:vAlign w:val="top"/>
          </w:tcPr>
          <w:p>
            <w:pPr>
              <w:pStyle w:val="41"/>
              <w:spacing w:line="360" w:lineRule="auto"/>
              <w:jc w:val="both"/>
              <w:rPr>
                <w:rFonts w:ascii="宋体" w:hAnsi="宋体" w:cs="Arial"/>
                <w:b w:val="0"/>
                <w:sz w:val="21"/>
                <w:szCs w:val="21"/>
              </w:rPr>
            </w:pPr>
            <w:r>
              <w:rPr>
                <w:rFonts w:hint="eastAsia" w:ascii="宋体" w:hAnsi="宋体" w:cs="Arial"/>
                <w:b w:val="0"/>
                <w:sz w:val="21"/>
                <w:szCs w:val="21"/>
              </w:rPr>
              <w:t>额定电流</w:t>
            </w:r>
          </w:p>
        </w:tc>
        <w:tc>
          <w:tcPr>
            <w:tcW w:w="3602" w:type="dxa"/>
            <w:noWrap w:val="0"/>
            <w:vAlign w:val="top"/>
          </w:tcPr>
          <w:p>
            <w:pPr>
              <w:pStyle w:val="41"/>
              <w:spacing w:line="360" w:lineRule="auto"/>
              <w:rPr>
                <w:rFonts w:ascii="宋体" w:hAnsi="宋体" w:cs="Arial"/>
                <w:b w:val="0"/>
                <w:sz w:val="21"/>
                <w:szCs w:val="21"/>
              </w:rPr>
            </w:pPr>
            <w:r>
              <w:rPr>
                <w:rFonts w:hint="eastAsia" w:ascii="宋体" w:hAnsi="宋体" w:cs="Arial"/>
                <w:b w:val="0"/>
                <w:sz w:val="21"/>
                <w:szCs w:val="21"/>
              </w:rPr>
              <w:t>57.7</w:t>
            </w:r>
          </w:p>
        </w:tc>
        <w:tc>
          <w:tcPr>
            <w:tcW w:w="1783" w:type="dxa"/>
            <w:noWrap w:val="0"/>
            <w:vAlign w:val="top"/>
          </w:tcPr>
          <w:p>
            <w:pPr>
              <w:spacing w:line="360" w:lineRule="auto"/>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2" w:hRule="atLeast"/>
        </w:trPr>
        <w:tc>
          <w:tcPr>
            <w:tcW w:w="661" w:type="dxa"/>
            <w:noWrap w:val="0"/>
            <w:vAlign w:val="top"/>
          </w:tcPr>
          <w:p>
            <w:pPr>
              <w:pStyle w:val="41"/>
              <w:spacing w:line="360" w:lineRule="auto"/>
              <w:rPr>
                <w:rFonts w:ascii="宋体" w:hAnsi="宋体" w:cs="Arial"/>
                <w:b w:val="0"/>
                <w:sz w:val="21"/>
                <w:szCs w:val="21"/>
              </w:rPr>
            </w:pPr>
            <w:r>
              <w:rPr>
                <w:rFonts w:hint="eastAsia" w:ascii="宋体" w:hAnsi="宋体" w:cs="Arial"/>
                <w:b w:val="0"/>
                <w:sz w:val="21"/>
                <w:szCs w:val="21"/>
              </w:rPr>
              <w:t>12</w:t>
            </w:r>
          </w:p>
        </w:tc>
        <w:tc>
          <w:tcPr>
            <w:tcW w:w="3332" w:type="dxa"/>
            <w:noWrap w:val="0"/>
            <w:vAlign w:val="top"/>
          </w:tcPr>
          <w:p>
            <w:pPr>
              <w:pStyle w:val="41"/>
              <w:spacing w:line="360" w:lineRule="auto"/>
              <w:jc w:val="both"/>
              <w:rPr>
                <w:rFonts w:ascii="宋体" w:hAnsi="宋体" w:cs="Arial"/>
                <w:b w:val="0"/>
                <w:sz w:val="21"/>
                <w:szCs w:val="21"/>
              </w:rPr>
            </w:pPr>
            <w:r>
              <w:rPr>
                <w:rFonts w:hint="eastAsia" w:ascii="宋体" w:hAnsi="宋体" w:cs="Arial"/>
                <w:b w:val="0"/>
                <w:sz w:val="21"/>
                <w:szCs w:val="21"/>
              </w:rPr>
              <w:t>短路阻抗</w:t>
            </w:r>
          </w:p>
        </w:tc>
        <w:tc>
          <w:tcPr>
            <w:tcW w:w="3602" w:type="dxa"/>
            <w:noWrap w:val="0"/>
            <w:vAlign w:val="top"/>
          </w:tcPr>
          <w:p>
            <w:pPr>
              <w:pStyle w:val="41"/>
              <w:spacing w:line="360" w:lineRule="auto"/>
              <w:rPr>
                <w:rFonts w:ascii="宋体" w:hAnsi="宋体" w:cs="Arial"/>
                <w:b w:val="0"/>
                <w:sz w:val="21"/>
                <w:szCs w:val="21"/>
              </w:rPr>
            </w:pPr>
            <w:r>
              <w:rPr>
                <w:rFonts w:hint="eastAsia" w:ascii="宋体" w:hAnsi="宋体" w:cs="Arial"/>
                <w:b w:val="0"/>
                <w:sz w:val="21"/>
                <w:szCs w:val="21"/>
              </w:rPr>
              <w:t>4%</w:t>
            </w:r>
          </w:p>
        </w:tc>
        <w:tc>
          <w:tcPr>
            <w:tcW w:w="1783" w:type="dxa"/>
            <w:noWrap w:val="0"/>
            <w:vAlign w:val="top"/>
          </w:tcPr>
          <w:p>
            <w:pPr>
              <w:spacing w:line="360" w:lineRule="auto"/>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0" w:hRule="atLeast"/>
        </w:trPr>
        <w:tc>
          <w:tcPr>
            <w:tcW w:w="661" w:type="dxa"/>
            <w:noWrap w:val="0"/>
            <w:vAlign w:val="top"/>
          </w:tcPr>
          <w:p>
            <w:pPr>
              <w:pStyle w:val="41"/>
              <w:spacing w:line="360" w:lineRule="auto"/>
              <w:rPr>
                <w:rFonts w:ascii="宋体" w:hAnsi="宋体" w:cs="Arial"/>
                <w:b w:val="0"/>
                <w:sz w:val="21"/>
                <w:szCs w:val="21"/>
              </w:rPr>
            </w:pPr>
            <w:r>
              <w:rPr>
                <w:rFonts w:hint="eastAsia" w:ascii="宋体" w:hAnsi="宋体" w:cs="Arial"/>
                <w:b w:val="0"/>
                <w:sz w:val="21"/>
                <w:szCs w:val="21"/>
              </w:rPr>
              <w:t>13</w:t>
            </w:r>
          </w:p>
        </w:tc>
        <w:tc>
          <w:tcPr>
            <w:tcW w:w="3332" w:type="dxa"/>
            <w:noWrap w:val="0"/>
            <w:vAlign w:val="top"/>
          </w:tcPr>
          <w:p>
            <w:pPr>
              <w:pStyle w:val="41"/>
              <w:spacing w:line="360" w:lineRule="auto"/>
              <w:jc w:val="both"/>
              <w:rPr>
                <w:rFonts w:ascii="宋体" w:hAnsi="宋体" w:cs="Arial"/>
                <w:b w:val="0"/>
                <w:sz w:val="21"/>
                <w:szCs w:val="21"/>
              </w:rPr>
            </w:pPr>
            <w:r>
              <w:rPr>
                <w:rFonts w:hint="eastAsia" w:ascii="宋体" w:hAnsi="宋体" w:cs="Arial"/>
                <w:b w:val="0"/>
                <w:sz w:val="21"/>
                <w:szCs w:val="21"/>
              </w:rPr>
              <w:t>噪音水平（声功率级）</w:t>
            </w:r>
            <w:r>
              <w:rPr>
                <w:rFonts w:hint="eastAsia" w:ascii="宋体" w:hAnsi="宋体" w:cs="宋体"/>
                <w:sz w:val="21"/>
                <w:szCs w:val="21"/>
              </w:rPr>
              <w:t>(距外壳1m处)(dB，LpA)</w:t>
            </w:r>
          </w:p>
        </w:tc>
        <w:tc>
          <w:tcPr>
            <w:tcW w:w="3602" w:type="dxa"/>
            <w:noWrap w:val="0"/>
            <w:vAlign w:val="top"/>
          </w:tcPr>
          <w:p>
            <w:pPr>
              <w:pStyle w:val="41"/>
              <w:spacing w:line="360" w:lineRule="auto"/>
              <w:rPr>
                <w:rFonts w:ascii="宋体" w:hAnsi="宋体" w:cs="Arial"/>
                <w:b w:val="0"/>
                <w:sz w:val="21"/>
                <w:szCs w:val="21"/>
              </w:rPr>
            </w:pPr>
            <w:r>
              <w:rPr>
                <w:rFonts w:hint="eastAsia" w:ascii="宋体" w:hAnsi="宋体" w:cs="Arial"/>
                <w:b w:val="0"/>
                <w:sz w:val="21"/>
                <w:szCs w:val="21"/>
              </w:rPr>
              <w:t>≤50</w:t>
            </w:r>
          </w:p>
        </w:tc>
        <w:tc>
          <w:tcPr>
            <w:tcW w:w="1783" w:type="dxa"/>
            <w:noWrap w:val="0"/>
            <w:vAlign w:val="top"/>
          </w:tcPr>
          <w:p>
            <w:pPr>
              <w:spacing w:line="360" w:lineRule="auto"/>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2" w:hRule="atLeast"/>
        </w:trPr>
        <w:tc>
          <w:tcPr>
            <w:tcW w:w="661" w:type="dxa"/>
            <w:noWrap w:val="0"/>
            <w:vAlign w:val="top"/>
          </w:tcPr>
          <w:p>
            <w:pPr>
              <w:pStyle w:val="41"/>
              <w:spacing w:line="360" w:lineRule="auto"/>
              <w:rPr>
                <w:rFonts w:ascii="宋体" w:hAnsi="宋体" w:cs="Arial"/>
                <w:b w:val="0"/>
                <w:sz w:val="21"/>
                <w:szCs w:val="21"/>
              </w:rPr>
            </w:pPr>
            <w:r>
              <w:rPr>
                <w:rFonts w:hint="eastAsia" w:ascii="宋体" w:hAnsi="宋体" w:cs="Arial"/>
                <w:b w:val="0"/>
                <w:sz w:val="21"/>
                <w:szCs w:val="21"/>
              </w:rPr>
              <w:t>14</w:t>
            </w:r>
          </w:p>
        </w:tc>
        <w:tc>
          <w:tcPr>
            <w:tcW w:w="3332" w:type="dxa"/>
            <w:noWrap w:val="0"/>
            <w:vAlign w:val="top"/>
          </w:tcPr>
          <w:p>
            <w:pPr>
              <w:pStyle w:val="41"/>
              <w:spacing w:line="360" w:lineRule="auto"/>
              <w:jc w:val="both"/>
              <w:rPr>
                <w:rFonts w:ascii="宋体" w:hAnsi="宋体" w:cs="Arial"/>
                <w:b w:val="0"/>
                <w:sz w:val="21"/>
                <w:szCs w:val="21"/>
              </w:rPr>
            </w:pPr>
            <w:r>
              <w:rPr>
                <w:rFonts w:hint="eastAsia" w:ascii="宋体" w:hAnsi="宋体" w:cs="Arial"/>
                <w:b w:val="0"/>
                <w:sz w:val="21"/>
                <w:szCs w:val="21"/>
              </w:rPr>
              <w:t>调压方式</w:t>
            </w:r>
          </w:p>
        </w:tc>
        <w:tc>
          <w:tcPr>
            <w:tcW w:w="3602" w:type="dxa"/>
            <w:noWrap w:val="0"/>
            <w:vAlign w:val="top"/>
          </w:tcPr>
          <w:p>
            <w:pPr>
              <w:pStyle w:val="41"/>
              <w:spacing w:line="360" w:lineRule="auto"/>
              <w:rPr>
                <w:rFonts w:ascii="宋体" w:hAnsi="宋体" w:cs="Arial"/>
                <w:b w:val="0"/>
                <w:sz w:val="21"/>
                <w:szCs w:val="21"/>
              </w:rPr>
            </w:pPr>
            <w:r>
              <w:rPr>
                <w:rFonts w:hint="eastAsia" w:ascii="宋体" w:hAnsi="宋体" w:cs="Arial"/>
                <w:b w:val="0"/>
                <w:sz w:val="21"/>
                <w:szCs w:val="21"/>
              </w:rPr>
              <w:t>无励磁</w:t>
            </w:r>
          </w:p>
        </w:tc>
        <w:tc>
          <w:tcPr>
            <w:tcW w:w="1783" w:type="dxa"/>
            <w:noWrap w:val="0"/>
            <w:vAlign w:val="top"/>
          </w:tcPr>
          <w:p>
            <w:pPr>
              <w:spacing w:line="360" w:lineRule="auto"/>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2" w:hRule="atLeast"/>
        </w:trPr>
        <w:tc>
          <w:tcPr>
            <w:tcW w:w="661" w:type="dxa"/>
            <w:noWrap w:val="0"/>
            <w:vAlign w:val="top"/>
          </w:tcPr>
          <w:p>
            <w:pPr>
              <w:pStyle w:val="41"/>
              <w:spacing w:line="360" w:lineRule="auto"/>
              <w:rPr>
                <w:rFonts w:ascii="宋体" w:hAnsi="宋体" w:cs="Arial"/>
                <w:b w:val="0"/>
                <w:sz w:val="21"/>
                <w:szCs w:val="21"/>
              </w:rPr>
            </w:pPr>
            <w:r>
              <w:rPr>
                <w:rFonts w:hint="eastAsia" w:ascii="宋体" w:hAnsi="宋体" w:cs="Arial"/>
                <w:b w:val="0"/>
                <w:sz w:val="21"/>
                <w:szCs w:val="21"/>
              </w:rPr>
              <w:t>15</w:t>
            </w:r>
          </w:p>
        </w:tc>
        <w:tc>
          <w:tcPr>
            <w:tcW w:w="3332" w:type="dxa"/>
            <w:noWrap w:val="0"/>
            <w:vAlign w:val="top"/>
          </w:tcPr>
          <w:p>
            <w:pPr>
              <w:pStyle w:val="41"/>
              <w:spacing w:line="360" w:lineRule="auto"/>
              <w:jc w:val="both"/>
              <w:rPr>
                <w:rFonts w:ascii="宋体" w:hAnsi="宋体" w:cs="Arial"/>
                <w:b w:val="0"/>
                <w:sz w:val="21"/>
                <w:szCs w:val="21"/>
              </w:rPr>
            </w:pPr>
            <w:r>
              <w:rPr>
                <w:rFonts w:hint="eastAsia" w:ascii="宋体" w:hAnsi="宋体" w:cs="Arial"/>
                <w:b w:val="0"/>
                <w:sz w:val="21"/>
                <w:szCs w:val="21"/>
              </w:rPr>
              <w:t>调压位置</w:t>
            </w:r>
          </w:p>
        </w:tc>
        <w:tc>
          <w:tcPr>
            <w:tcW w:w="3602" w:type="dxa"/>
            <w:noWrap w:val="0"/>
            <w:vAlign w:val="top"/>
          </w:tcPr>
          <w:p>
            <w:pPr>
              <w:pStyle w:val="41"/>
              <w:spacing w:line="360" w:lineRule="auto"/>
              <w:rPr>
                <w:rFonts w:ascii="宋体" w:hAnsi="宋体" w:cs="Arial"/>
                <w:b w:val="0"/>
                <w:sz w:val="21"/>
                <w:szCs w:val="21"/>
              </w:rPr>
            </w:pPr>
            <w:r>
              <w:rPr>
                <w:rFonts w:hint="eastAsia" w:ascii="宋体" w:hAnsi="宋体" w:cs="Arial"/>
                <w:b w:val="0"/>
                <w:sz w:val="21"/>
                <w:szCs w:val="21"/>
              </w:rPr>
              <w:t>高压侧</w:t>
            </w:r>
          </w:p>
        </w:tc>
        <w:tc>
          <w:tcPr>
            <w:tcW w:w="1783" w:type="dxa"/>
            <w:noWrap w:val="0"/>
            <w:vAlign w:val="top"/>
          </w:tcPr>
          <w:p>
            <w:pPr>
              <w:spacing w:line="360" w:lineRule="auto"/>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2" w:hRule="atLeast"/>
        </w:trPr>
        <w:tc>
          <w:tcPr>
            <w:tcW w:w="661" w:type="dxa"/>
            <w:noWrap w:val="0"/>
            <w:vAlign w:val="top"/>
          </w:tcPr>
          <w:p>
            <w:pPr>
              <w:pStyle w:val="41"/>
              <w:spacing w:line="360" w:lineRule="auto"/>
              <w:rPr>
                <w:rFonts w:ascii="宋体" w:hAnsi="宋体" w:cs="Arial"/>
                <w:b w:val="0"/>
                <w:sz w:val="21"/>
                <w:szCs w:val="21"/>
              </w:rPr>
            </w:pPr>
            <w:r>
              <w:rPr>
                <w:rFonts w:hint="eastAsia" w:ascii="宋体" w:hAnsi="宋体" w:cs="Arial"/>
                <w:b w:val="0"/>
                <w:sz w:val="21"/>
                <w:szCs w:val="21"/>
              </w:rPr>
              <w:t>16</w:t>
            </w:r>
          </w:p>
        </w:tc>
        <w:tc>
          <w:tcPr>
            <w:tcW w:w="3332" w:type="dxa"/>
            <w:noWrap w:val="0"/>
            <w:vAlign w:val="top"/>
          </w:tcPr>
          <w:p>
            <w:pPr>
              <w:pStyle w:val="41"/>
              <w:spacing w:line="360" w:lineRule="auto"/>
              <w:jc w:val="both"/>
              <w:rPr>
                <w:rFonts w:ascii="宋体" w:hAnsi="宋体" w:cs="Arial"/>
                <w:b w:val="0"/>
                <w:sz w:val="21"/>
                <w:szCs w:val="21"/>
              </w:rPr>
            </w:pPr>
            <w:r>
              <w:rPr>
                <w:rFonts w:hint="eastAsia" w:ascii="宋体" w:hAnsi="宋体" w:cs="Arial"/>
                <w:b w:val="0"/>
                <w:sz w:val="21"/>
                <w:szCs w:val="21"/>
              </w:rPr>
              <w:t>调压范围</w:t>
            </w:r>
          </w:p>
        </w:tc>
        <w:tc>
          <w:tcPr>
            <w:tcW w:w="3602" w:type="dxa"/>
            <w:noWrap w:val="0"/>
            <w:vAlign w:val="top"/>
          </w:tcPr>
          <w:p>
            <w:pPr>
              <w:pStyle w:val="41"/>
              <w:spacing w:line="360" w:lineRule="auto"/>
              <w:rPr>
                <w:rFonts w:ascii="宋体" w:hAnsi="宋体" w:cs="Arial"/>
                <w:b w:val="0"/>
                <w:sz w:val="21"/>
                <w:szCs w:val="21"/>
              </w:rPr>
            </w:pPr>
            <w:r>
              <w:rPr>
                <w:rFonts w:hint="eastAsia" w:ascii="宋体" w:hAnsi="宋体" w:cs="Arial"/>
                <w:b w:val="0"/>
                <w:sz w:val="21"/>
                <w:szCs w:val="21"/>
              </w:rPr>
              <w:t>10</w:t>
            </w:r>
            <w:r>
              <w:rPr>
                <w:rFonts w:hint="cs" w:ascii="宋体" w:hAnsi="宋体" w:cs="Arial"/>
                <w:b w:val="0"/>
                <w:sz w:val="21"/>
                <w:szCs w:val="21"/>
                <w:cs/>
              </w:rPr>
              <w:t>±</w:t>
            </w:r>
            <w:r>
              <w:rPr>
                <w:rFonts w:hint="eastAsia" w:ascii="宋体" w:hAnsi="宋体" w:cs="Arial"/>
                <w:b w:val="0"/>
                <w:sz w:val="21"/>
                <w:szCs w:val="21"/>
              </w:rPr>
              <w:t>2</w:t>
            </w:r>
            <w:r>
              <w:rPr>
                <w:rFonts w:hint="cs" w:ascii="宋体" w:hAnsi="宋体" w:cs="Arial"/>
                <w:b w:val="0"/>
                <w:sz w:val="21"/>
                <w:szCs w:val="21"/>
                <w:cs/>
              </w:rPr>
              <w:t>×</w:t>
            </w:r>
            <w:r>
              <w:rPr>
                <w:rFonts w:hint="eastAsia" w:ascii="宋体" w:hAnsi="宋体" w:cs="Arial"/>
                <w:b w:val="0"/>
                <w:sz w:val="21"/>
                <w:szCs w:val="21"/>
              </w:rPr>
              <w:t>2.5%</w:t>
            </w:r>
          </w:p>
        </w:tc>
        <w:tc>
          <w:tcPr>
            <w:tcW w:w="1783" w:type="dxa"/>
            <w:noWrap w:val="0"/>
            <w:vAlign w:val="top"/>
          </w:tcPr>
          <w:p>
            <w:pPr>
              <w:spacing w:line="360" w:lineRule="auto"/>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2" w:hRule="atLeast"/>
        </w:trPr>
        <w:tc>
          <w:tcPr>
            <w:tcW w:w="661" w:type="dxa"/>
            <w:tcBorders>
              <w:bottom w:val="single" w:color="auto" w:sz="4" w:space="0"/>
            </w:tcBorders>
            <w:noWrap w:val="0"/>
            <w:vAlign w:val="top"/>
          </w:tcPr>
          <w:p>
            <w:pPr>
              <w:pStyle w:val="41"/>
              <w:spacing w:line="360" w:lineRule="auto"/>
              <w:rPr>
                <w:rFonts w:ascii="宋体" w:hAnsi="宋体" w:cs="Arial"/>
                <w:b w:val="0"/>
                <w:sz w:val="21"/>
                <w:szCs w:val="21"/>
              </w:rPr>
            </w:pPr>
            <w:r>
              <w:rPr>
                <w:rFonts w:hint="eastAsia" w:ascii="宋体" w:hAnsi="宋体" w:cs="Arial"/>
                <w:b w:val="0"/>
                <w:sz w:val="21"/>
                <w:szCs w:val="21"/>
              </w:rPr>
              <w:t>17</w:t>
            </w:r>
          </w:p>
        </w:tc>
        <w:tc>
          <w:tcPr>
            <w:tcW w:w="3332" w:type="dxa"/>
            <w:tcBorders>
              <w:bottom w:val="single" w:color="auto" w:sz="4" w:space="0"/>
            </w:tcBorders>
            <w:noWrap w:val="0"/>
            <w:vAlign w:val="top"/>
          </w:tcPr>
          <w:p>
            <w:pPr>
              <w:pStyle w:val="41"/>
              <w:spacing w:line="360" w:lineRule="auto"/>
              <w:jc w:val="both"/>
              <w:rPr>
                <w:rFonts w:ascii="宋体" w:hAnsi="宋体" w:cs="Arial"/>
                <w:b w:val="0"/>
                <w:sz w:val="21"/>
                <w:szCs w:val="21"/>
              </w:rPr>
            </w:pPr>
            <w:r>
              <w:rPr>
                <w:rFonts w:hint="eastAsia" w:ascii="宋体" w:hAnsi="宋体" w:cs="Arial"/>
                <w:b w:val="0"/>
                <w:sz w:val="21"/>
                <w:szCs w:val="21"/>
              </w:rPr>
              <w:t>中心点接地方式</w:t>
            </w:r>
          </w:p>
        </w:tc>
        <w:tc>
          <w:tcPr>
            <w:tcW w:w="3602" w:type="dxa"/>
            <w:tcBorders>
              <w:bottom w:val="single" w:color="auto" w:sz="4" w:space="0"/>
            </w:tcBorders>
            <w:noWrap w:val="0"/>
            <w:vAlign w:val="top"/>
          </w:tcPr>
          <w:p>
            <w:pPr>
              <w:pStyle w:val="41"/>
              <w:spacing w:line="360" w:lineRule="auto"/>
              <w:rPr>
                <w:rFonts w:ascii="宋体" w:hAnsi="宋体" w:cs="Arial"/>
                <w:b w:val="0"/>
                <w:sz w:val="21"/>
                <w:szCs w:val="21"/>
              </w:rPr>
            </w:pPr>
            <w:r>
              <w:rPr>
                <w:rFonts w:hint="eastAsia" w:ascii="宋体" w:hAnsi="宋体" w:cs="Arial"/>
                <w:b w:val="0"/>
                <w:sz w:val="21"/>
                <w:szCs w:val="21"/>
              </w:rPr>
              <w:t>不接地</w:t>
            </w:r>
          </w:p>
        </w:tc>
        <w:tc>
          <w:tcPr>
            <w:tcW w:w="1783" w:type="dxa"/>
            <w:tcBorders>
              <w:bottom w:val="single" w:color="auto" w:sz="4" w:space="0"/>
            </w:tcBorders>
            <w:noWrap w:val="0"/>
            <w:vAlign w:val="top"/>
          </w:tcPr>
          <w:p>
            <w:pPr>
              <w:spacing w:line="360" w:lineRule="auto"/>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2" w:hRule="atLeast"/>
        </w:trPr>
        <w:tc>
          <w:tcPr>
            <w:tcW w:w="661" w:type="dxa"/>
            <w:noWrap w:val="0"/>
            <w:vAlign w:val="top"/>
          </w:tcPr>
          <w:p>
            <w:pPr>
              <w:pStyle w:val="41"/>
              <w:spacing w:line="360" w:lineRule="auto"/>
              <w:rPr>
                <w:rFonts w:ascii="宋体" w:hAnsi="宋体" w:cs="Arial"/>
                <w:b w:val="0"/>
                <w:sz w:val="21"/>
                <w:szCs w:val="21"/>
              </w:rPr>
            </w:pPr>
            <w:r>
              <w:rPr>
                <w:rFonts w:hint="eastAsia" w:ascii="宋体" w:hAnsi="宋体" w:cs="Arial"/>
                <w:b w:val="0"/>
                <w:sz w:val="21"/>
                <w:szCs w:val="21"/>
              </w:rPr>
              <w:t>18</w:t>
            </w:r>
          </w:p>
        </w:tc>
        <w:tc>
          <w:tcPr>
            <w:tcW w:w="3332" w:type="dxa"/>
            <w:noWrap w:val="0"/>
            <w:vAlign w:val="top"/>
          </w:tcPr>
          <w:p>
            <w:pPr>
              <w:pStyle w:val="41"/>
              <w:spacing w:line="360" w:lineRule="auto"/>
              <w:jc w:val="both"/>
              <w:rPr>
                <w:rFonts w:ascii="宋体" w:hAnsi="宋体" w:cs="Arial"/>
                <w:b w:val="0"/>
                <w:sz w:val="21"/>
                <w:szCs w:val="21"/>
              </w:rPr>
            </w:pPr>
            <w:r>
              <w:rPr>
                <w:rFonts w:hint="eastAsia" w:ascii="宋体" w:hAnsi="宋体" w:cs="Arial"/>
                <w:b w:val="0"/>
                <w:sz w:val="21"/>
                <w:szCs w:val="21"/>
              </w:rPr>
              <w:t>冷却方式</w:t>
            </w:r>
          </w:p>
        </w:tc>
        <w:tc>
          <w:tcPr>
            <w:tcW w:w="3602" w:type="dxa"/>
            <w:noWrap w:val="0"/>
            <w:vAlign w:val="top"/>
          </w:tcPr>
          <w:p>
            <w:pPr>
              <w:pStyle w:val="41"/>
              <w:spacing w:line="360" w:lineRule="auto"/>
              <w:rPr>
                <w:rFonts w:ascii="宋体" w:hAnsi="宋体" w:cs="Arial"/>
                <w:b w:val="0"/>
                <w:sz w:val="21"/>
                <w:szCs w:val="21"/>
              </w:rPr>
            </w:pPr>
            <w:r>
              <w:rPr>
                <w:rFonts w:ascii="宋体" w:hAnsi="宋体"/>
                <w:sz w:val="21"/>
                <w:szCs w:val="21"/>
              </w:rPr>
              <w:t>AN/AF</w:t>
            </w:r>
          </w:p>
        </w:tc>
        <w:tc>
          <w:tcPr>
            <w:tcW w:w="1783" w:type="dxa"/>
            <w:noWrap w:val="0"/>
            <w:vAlign w:val="top"/>
          </w:tcPr>
          <w:p>
            <w:pPr>
              <w:spacing w:line="360" w:lineRule="auto"/>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661" w:type="dxa"/>
            <w:noWrap w:val="0"/>
            <w:vAlign w:val="center"/>
          </w:tcPr>
          <w:p>
            <w:pPr>
              <w:spacing w:line="360" w:lineRule="auto"/>
              <w:jc w:val="center"/>
              <w:rPr>
                <w:rFonts w:ascii="宋体" w:hAnsi="宋体"/>
                <w:szCs w:val="21"/>
              </w:rPr>
            </w:pPr>
            <w:r>
              <w:rPr>
                <w:rFonts w:hint="eastAsia" w:ascii="宋体" w:hAnsi="宋体"/>
                <w:szCs w:val="21"/>
              </w:rPr>
              <w:t>19</w:t>
            </w:r>
          </w:p>
        </w:tc>
        <w:tc>
          <w:tcPr>
            <w:tcW w:w="3332" w:type="dxa"/>
            <w:noWrap w:val="0"/>
            <w:vAlign w:val="center"/>
          </w:tcPr>
          <w:p>
            <w:pPr>
              <w:spacing w:line="360" w:lineRule="auto"/>
              <w:rPr>
                <w:rFonts w:ascii="宋体" w:hAnsi="宋体"/>
                <w:szCs w:val="21"/>
              </w:rPr>
            </w:pPr>
            <w:r>
              <w:rPr>
                <w:rFonts w:hint="eastAsia" w:ascii="宋体" w:hAnsi="宋体"/>
                <w:szCs w:val="21"/>
              </w:rPr>
              <w:t>使用寿命</w:t>
            </w:r>
          </w:p>
        </w:tc>
        <w:tc>
          <w:tcPr>
            <w:tcW w:w="3602" w:type="dxa"/>
            <w:noWrap w:val="0"/>
            <w:vAlign w:val="center"/>
          </w:tcPr>
          <w:p>
            <w:pPr>
              <w:spacing w:line="360" w:lineRule="auto"/>
              <w:jc w:val="center"/>
              <w:rPr>
                <w:rFonts w:ascii="宋体" w:hAnsi="宋体"/>
                <w:color w:val="000000"/>
                <w:szCs w:val="21"/>
              </w:rPr>
            </w:pPr>
            <w:r>
              <w:rPr>
                <w:rFonts w:ascii="宋体" w:hAnsi="宋体"/>
                <w:color w:val="000000"/>
                <w:szCs w:val="21"/>
              </w:rPr>
              <w:t>不少于30年</w:t>
            </w:r>
          </w:p>
        </w:tc>
        <w:tc>
          <w:tcPr>
            <w:tcW w:w="1783" w:type="dxa"/>
            <w:noWrap w:val="0"/>
            <w:vAlign w:val="top"/>
          </w:tcPr>
          <w:p>
            <w:pPr>
              <w:spacing w:line="360" w:lineRule="auto"/>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6" w:hRule="atLeast"/>
        </w:trPr>
        <w:tc>
          <w:tcPr>
            <w:tcW w:w="661" w:type="dxa"/>
            <w:noWrap w:val="0"/>
            <w:vAlign w:val="center"/>
          </w:tcPr>
          <w:p>
            <w:pPr>
              <w:spacing w:line="360" w:lineRule="auto"/>
              <w:jc w:val="center"/>
              <w:rPr>
                <w:rFonts w:ascii="宋体" w:hAnsi="宋体"/>
                <w:szCs w:val="21"/>
              </w:rPr>
            </w:pPr>
            <w:r>
              <w:rPr>
                <w:rFonts w:hint="eastAsia" w:ascii="宋体" w:hAnsi="宋体"/>
                <w:szCs w:val="21"/>
              </w:rPr>
              <w:t>20</w:t>
            </w:r>
          </w:p>
        </w:tc>
        <w:tc>
          <w:tcPr>
            <w:tcW w:w="3332" w:type="dxa"/>
            <w:noWrap w:val="0"/>
            <w:vAlign w:val="center"/>
          </w:tcPr>
          <w:p>
            <w:pPr>
              <w:spacing w:line="360" w:lineRule="auto"/>
              <w:rPr>
                <w:rFonts w:ascii="宋体" w:hAnsi="宋体"/>
                <w:szCs w:val="21"/>
              </w:rPr>
            </w:pPr>
            <w:r>
              <w:rPr>
                <w:rFonts w:hint="eastAsia" w:ascii="宋体" w:hAnsi="宋体"/>
                <w:szCs w:val="21"/>
              </w:rPr>
              <w:t>外壳及颜色</w:t>
            </w:r>
          </w:p>
        </w:tc>
        <w:tc>
          <w:tcPr>
            <w:tcW w:w="3602" w:type="dxa"/>
            <w:noWrap w:val="0"/>
            <w:vAlign w:val="center"/>
          </w:tcPr>
          <w:p>
            <w:pPr>
              <w:spacing w:line="360" w:lineRule="auto"/>
              <w:jc w:val="left"/>
              <w:rPr>
                <w:rFonts w:ascii="宋体" w:hAnsi="宋体"/>
                <w:color w:val="000000"/>
                <w:szCs w:val="21"/>
              </w:rPr>
            </w:pPr>
            <w:r>
              <w:rPr>
                <w:rFonts w:hint="eastAsia" w:ascii="宋体" w:hAnsi="宋体"/>
                <w:color w:val="000000"/>
                <w:szCs w:val="21"/>
              </w:rPr>
              <w:t>干式变压器外壳采用不小于2毫米厚优质钢板，颜色</w:t>
            </w:r>
            <w:r>
              <w:rPr>
                <w:rFonts w:hint="eastAsia" w:ascii="宋体" w:hAnsi="宋体"/>
                <w:szCs w:val="21"/>
              </w:rPr>
              <w:t>待订</w:t>
            </w:r>
          </w:p>
        </w:tc>
        <w:tc>
          <w:tcPr>
            <w:tcW w:w="1783" w:type="dxa"/>
            <w:noWrap w:val="0"/>
            <w:vAlign w:val="top"/>
          </w:tcPr>
          <w:p>
            <w:pPr>
              <w:spacing w:line="360" w:lineRule="auto"/>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661" w:type="dxa"/>
            <w:noWrap w:val="0"/>
            <w:vAlign w:val="center"/>
          </w:tcPr>
          <w:p>
            <w:pPr>
              <w:spacing w:line="360" w:lineRule="auto"/>
              <w:jc w:val="center"/>
              <w:rPr>
                <w:rFonts w:ascii="宋体" w:hAnsi="宋体" w:cs="宋体"/>
                <w:szCs w:val="21"/>
              </w:rPr>
            </w:pPr>
            <w:r>
              <w:rPr>
                <w:rFonts w:hint="eastAsia" w:ascii="宋体" w:hAnsi="宋体" w:cs="宋体"/>
                <w:szCs w:val="21"/>
              </w:rPr>
              <w:t>21</w:t>
            </w:r>
          </w:p>
        </w:tc>
        <w:tc>
          <w:tcPr>
            <w:tcW w:w="3332" w:type="dxa"/>
            <w:noWrap w:val="0"/>
            <w:vAlign w:val="center"/>
          </w:tcPr>
          <w:p>
            <w:pPr>
              <w:spacing w:line="360" w:lineRule="auto"/>
              <w:rPr>
                <w:rFonts w:ascii="宋体" w:hAnsi="宋体" w:cs="宋体"/>
                <w:szCs w:val="21"/>
              </w:rPr>
            </w:pPr>
            <w:r>
              <w:rPr>
                <w:rFonts w:hint="eastAsia" w:ascii="宋体" w:hAnsi="宋体" w:cs="宋体"/>
                <w:szCs w:val="21"/>
              </w:rPr>
              <w:t>变压器重量(kg)</w:t>
            </w:r>
          </w:p>
        </w:tc>
        <w:tc>
          <w:tcPr>
            <w:tcW w:w="3602" w:type="dxa"/>
            <w:noWrap w:val="0"/>
            <w:vAlign w:val="center"/>
          </w:tcPr>
          <w:p>
            <w:pPr>
              <w:spacing w:line="360" w:lineRule="auto"/>
              <w:jc w:val="center"/>
              <w:rPr>
                <w:rFonts w:ascii="宋体" w:hAnsi="宋体" w:cs="宋体"/>
                <w:szCs w:val="21"/>
              </w:rPr>
            </w:pPr>
            <w:r>
              <w:rPr>
                <w:rFonts w:hint="eastAsia" w:ascii="宋体" w:hAnsi="宋体" w:cs="宋体"/>
                <w:szCs w:val="21"/>
              </w:rPr>
              <w:t>厂家提供</w:t>
            </w:r>
          </w:p>
        </w:tc>
        <w:tc>
          <w:tcPr>
            <w:tcW w:w="1783" w:type="dxa"/>
            <w:noWrap w:val="0"/>
            <w:vAlign w:val="top"/>
          </w:tcPr>
          <w:p>
            <w:pPr>
              <w:spacing w:line="360" w:lineRule="auto"/>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trPr>
        <w:tc>
          <w:tcPr>
            <w:tcW w:w="661" w:type="dxa"/>
            <w:noWrap w:val="0"/>
            <w:vAlign w:val="center"/>
          </w:tcPr>
          <w:p>
            <w:pPr>
              <w:spacing w:line="360" w:lineRule="auto"/>
              <w:jc w:val="center"/>
              <w:rPr>
                <w:rFonts w:ascii="宋体" w:hAnsi="宋体" w:cs="宋体"/>
                <w:szCs w:val="21"/>
              </w:rPr>
            </w:pPr>
            <w:r>
              <w:rPr>
                <w:rFonts w:hint="eastAsia" w:ascii="宋体" w:hAnsi="宋体" w:cs="宋体"/>
                <w:szCs w:val="21"/>
              </w:rPr>
              <w:t>22</w:t>
            </w:r>
          </w:p>
        </w:tc>
        <w:tc>
          <w:tcPr>
            <w:tcW w:w="3332" w:type="dxa"/>
            <w:noWrap w:val="0"/>
            <w:vAlign w:val="center"/>
          </w:tcPr>
          <w:p>
            <w:pPr>
              <w:rPr>
                <w:rFonts w:ascii="宋体" w:hAnsi="宋体" w:cs="宋体"/>
                <w:szCs w:val="21"/>
              </w:rPr>
            </w:pPr>
            <w:r>
              <w:rPr>
                <w:rFonts w:hint="eastAsia" w:ascii="宋体" w:hAnsi="宋体" w:cs="宋体"/>
                <w:szCs w:val="21"/>
              </w:rPr>
              <w:t>变压器外型尺寸</w:t>
            </w:r>
          </w:p>
          <w:p>
            <w:pPr>
              <w:spacing w:line="360" w:lineRule="auto"/>
              <w:rPr>
                <w:rFonts w:ascii="宋体" w:hAnsi="宋体" w:cs="宋体"/>
                <w:szCs w:val="21"/>
              </w:rPr>
            </w:pPr>
            <w:r>
              <w:rPr>
                <w:rFonts w:hint="eastAsia" w:ascii="宋体" w:hAnsi="宋体" w:cs="宋体"/>
                <w:szCs w:val="21"/>
              </w:rPr>
              <w:t>（长*宽*高）mm</w:t>
            </w:r>
          </w:p>
        </w:tc>
        <w:tc>
          <w:tcPr>
            <w:tcW w:w="3602" w:type="dxa"/>
            <w:noWrap w:val="0"/>
            <w:vAlign w:val="center"/>
          </w:tcPr>
          <w:p>
            <w:pPr>
              <w:spacing w:line="360" w:lineRule="auto"/>
              <w:jc w:val="center"/>
              <w:rPr>
                <w:rFonts w:ascii="宋体" w:hAnsi="宋体" w:cs="宋体"/>
                <w:szCs w:val="21"/>
              </w:rPr>
            </w:pPr>
            <w:r>
              <w:rPr>
                <w:rFonts w:hint="eastAsia" w:ascii="宋体" w:hAnsi="宋体" w:cs="宋体"/>
                <w:szCs w:val="21"/>
              </w:rPr>
              <w:t>厂家提供</w:t>
            </w:r>
          </w:p>
        </w:tc>
        <w:tc>
          <w:tcPr>
            <w:tcW w:w="1783" w:type="dxa"/>
            <w:noWrap w:val="0"/>
            <w:vAlign w:val="top"/>
          </w:tcPr>
          <w:p>
            <w:pPr>
              <w:spacing w:line="360" w:lineRule="auto"/>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trPr>
        <w:tc>
          <w:tcPr>
            <w:tcW w:w="661" w:type="dxa"/>
            <w:noWrap w:val="0"/>
            <w:vAlign w:val="center"/>
          </w:tcPr>
          <w:p>
            <w:pPr>
              <w:spacing w:line="360" w:lineRule="auto"/>
              <w:jc w:val="center"/>
              <w:rPr>
                <w:rFonts w:ascii="宋体" w:hAnsi="宋体" w:cs="宋体"/>
                <w:szCs w:val="21"/>
              </w:rPr>
            </w:pPr>
            <w:r>
              <w:rPr>
                <w:rFonts w:hint="eastAsia" w:ascii="宋体" w:hAnsi="宋体" w:cs="宋体"/>
                <w:szCs w:val="21"/>
              </w:rPr>
              <w:t>23</w:t>
            </w:r>
          </w:p>
        </w:tc>
        <w:tc>
          <w:tcPr>
            <w:tcW w:w="3332" w:type="dxa"/>
            <w:noWrap w:val="0"/>
            <w:vAlign w:val="center"/>
          </w:tcPr>
          <w:p>
            <w:pPr>
              <w:rPr>
                <w:rFonts w:ascii="宋体" w:hAnsi="宋体" w:cs="宋体"/>
                <w:szCs w:val="21"/>
              </w:rPr>
            </w:pPr>
            <w:r>
              <w:rPr>
                <w:rFonts w:hint="eastAsia" w:ascii="宋体" w:hAnsi="宋体" w:cs="宋体"/>
                <w:szCs w:val="21"/>
              </w:rPr>
              <w:t>变压器外壳尺寸</w:t>
            </w:r>
          </w:p>
          <w:p>
            <w:pPr>
              <w:rPr>
                <w:rFonts w:ascii="宋体" w:hAnsi="宋体" w:cs="宋体"/>
                <w:szCs w:val="21"/>
              </w:rPr>
            </w:pPr>
            <w:r>
              <w:rPr>
                <w:rFonts w:hint="eastAsia" w:ascii="宋体" w:hAnsi="宋体" w:cs="宋体"/>
                <w:szCs w:val="21"/>
              </w:rPr>
              <w:t>（长*宽*高）mm</w:t>
            </w:r>
          </w:p>
        </w:tc>
        <w:tc>
          <w:tcPr>
            <w:tcW w:w="3602" w:type="dxa"/>
            <w:noWrap w:val="0"/>
            <w:vAlign w:val="center"/>
          </w:tcPr>
          <w:p>
            <w:pPr>
              <w:spacing w:line="360" w:lineRule="auto"/>
              <w:jc w:val="center"/>
              <w:rPr>
                <w:rFonts w:ascii="宋体" w:hAnsi="宋体" w:cs="宋体"/>
                <w:szCs w:val="21"/>
              </w:rPr>
            </w:pPr>
            <w:r>
              <w:rPr>
                <w:rFonts w:hint="eastAsia" w:ascii="宋体" w:hAnsi="宋体" w:cs="宋体"/>
                <w:szCs w:val="21"/>
              </w:rPr>
              <w:t>厂家提供</w:t>
            </w:r>
          </w:p>
        </w:tc>
        <w:tc>
          <w:tcPr>
            <w:tcW w:w="1783" w:type="dxa"/>
            <w:noWrap w:val="0"/>
            <w:vAlign w:val="top"/>
          </w:tcPr>
          <w:p>
            <w:pPr>
              <w:spacing w:line="360" w:lineRule="auto"/>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6" w:hRule="atLeast"/>
        </w:trPr>
        <w:tc>
          <w:tcPr>
            <w:tcW w:w="661" w:type="dxa"/>
            <w:noWrap w:val="0"/>
            <w:vAlign w:val="center"/>
          </w:tcPr>
          <w:p>
            <w:pPr>
              <w:spacing w:line="360" w:lineRule="auto"/>
              <w:jc w:val="center"/>
              <w:rPr>
                <w:rFonts w:ascii="宋体" w:hAnsi="宋体"/>
                <w:szCs w:val="21"/>
              </w:rPr>
            </w:pPr>
            <w:r>
              <w:rPr>
                <w:rFonts w:hint="eastAsia" w:ascii="宋体" w:hAnsi="宋体"/>
                <w:szCs w:val="21"/>
              </w:rPr>
              <w:t>24</w:t>
            </w:r>
          </w:p>
        </w:tc>
        <w:tc>
          <w:tcPr>
            <w:tcW w:w="3332" w:type="dxa"/>
            <w:noWrap w:val="0"/>
            <w:vAlign w:val="center"/>
          </w:tcPr>
          <w:p>
            <w:pPr>
              <w:spacing w:line="360" w:lineRule="auto"/>
              <w:rPr>
                <w:rFonts w:ascii="宋体" w:hAnsi="宋体"/>
                <w:szCs w:val="21"/>
              </w:rPr>
            </w:pPr>
            <w:r>
              <w:rPr>
                <w:rFonts w:hint="eastAsia" w:ascii="宋体" w:hAnsi="宋体"/>
                <w:szCs w:val="21"/>
              </w:rPr>
              <w:t>对温控器的特殊要求</w:t>
            </w:r>
          </w:p>
        </w:tc>
        <w:tc>
          <w:tcPr>
            <w:tcW w:w="3602" w:type="dxa"/>
            <w:noWrap w:val="0"/>
            <w:vAlign w:val="center"/>
          </w:tcPr>
          <w:p>
            <w:pPr>
              <w:spacing w:line="360" w:lineRule="auto"/>
              <w:jc w:val="left"/>
              <w:rPr>
                <w:rFonts w:ascii="宋体" w:hAnsi="宋体"/>
                <w:szCs w:val="21"/>
              </w:rPr>
            </w:pPr>
            <w:r>
              <w:rPr>
                <w:rFonts w:hint="eastAsia" w:ascii="宋体" w:hAnsi="宋体"/>
                <w:kern w:val="0"/>
                <w:szCs w:val="21"/>
              </w:rPr>
              <w:t>温控器电源由投标人从变压器低压侧母排引接，变压器冷却风机电源由投标人通过温控器自行解决。要求温控器能送出4~20mA三相电流信号，B相温度，超温跳闸、超温报警信号（无源）。温控器留有通讯口,采用部颁标准通讯规约, 能作为一个子站与后台装置实现通讯，上传变压器的电流、温度。每台干式变压器的温控温显系统的电源由供方自行从变压器低压侧引接和分配。每个供电回路需配置独立的空气开关。</w:t>
            </w:r>
          </w:p>
        </w:tc>
        <w:tc>
          <w:tcPr>
            <w:tcW w:w="1783" w:type="dxa"/>
            <w:noWrap w:val="0"/>
            <w:vAlign w:val="top"/>
          </w:tcPr>
          <w:p>
            <w:pPr>
              <w:spacing w:line="360" w:lineRule="auto"/>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4" w:hRule="atLeast"/>
        </w:trPr>
        <w:tc>
          <w:tcPr>
            <w:tcW w:w="661" w:type="dxa"/>
            <w:noWrap w:val="0"/>
            <w:vAlign w:val="center"/>
          </w:tcPr>
          <w:p>
            <w:pPr>
              <w:spacing w:line="360" w:lineRule="auto"/>
              <w:jc w:val="center"/>
              <w:rPr>
                <w:rFonts w:ascii="宋体" w:hAnsi="宋体"/>
                <w:color w:val="000000"/>
                <w:szCs w:val="21"/>
              </w:rPr>
            </w:pPr>
            <w:r>
              <w:rPr>
                <w:rFonts w:hint="eastAsia" w:ascii="宋体" w:hAnsi="宋体"/>
                <w:color w:val="000000"/>
                <w:szCs w:val="21"/>
              </w:rPr>
              <w:t>25</w:t>
            </w:r>
          </w:p>
        </w:tc>
        <w:tc>
          <w:tcPr>
            <w:tcW w:w="3332" w:type="dxa"/>
            <w:noWrap w:val="0"/>
            <w:vAlign w:val="center"/>
          </w:tcPr>
          <w:p>
            <w:pPr>
              <w:spacing w:line="360" w:lineRule="auto"/>
              <w:rPr>
                <w:rFonts w:ascii="宋体" w:hAnsi="宋体"/>
                <w:color w:val="000000"/>
                <w:szCs w:val="21"/>
              </w:rPr>
            </w:pPr>
            <w:r>
              <w:rPr>
                <w:rFonts w:hint="eastAsia" w:ascii="宋体" w:hAnsi="宋体"/>
                <w:color w:val="000000"/>
                <w:szCs w:val="21"/>
              </w:rPr>
              <w:t>变压器与开关柜接口</w:t>
            </w:r>
          </w:p>
        </w:tc>
        <w:tc>
          <w:tcPr>
            <w:tcW w:w="3602" w:type="dxa"/>
            <w:noWrap w:val="0"/>
            <w:vAlign w:val="center"/>
          </w:tcPr>
          <w:p>
            <w:pPr>
              <w:spacing w:line="360" w:lineRule="auto"/>
              <w:jc w:val="center"/>
              <w:rPr>
                <w:rFonts w:ascii="宋体" w:hAnsi="宋体"/>
                <w:color w:val="000000"/>
                <w:szCs w:val="21"/>
              </w:rPr>
            </w:pPr>
            <w:r>
              <w:rPr>
                <w:rFonts w:hint="eastAsia" w:ascii="宋体" w:hAnsi="宋体"/>
                <w:color w:val="000000"/>
                <w:szCs w:val="21"/>
              </w:rPr>
              <w:t>变压器厂家与低压开关柜厂家的分界点为：变压器外壳，低压开关柜母线通常会深入变压器柜外壳内300mm，其余变压器柜内低压侧连接铜排供方提供。供方负有不可推卸的责任应主动与低压开关柜承包商联系，并应主动配合开关柜与低压变压器柜的连接母排的对接位置设计和安装。变压器厂家应无条件提供给开关柜厂家一切用于设计的图纸及资料。供方还应负责变压器中性点CT的固定和安装。</w:t>
            </w:r>
          </w:p>
        </w:tc>
        <w:tc>
          <w:tcPr>
            <w:tcW w:w="1783" w:type="dxa"/>
            <w:noWrap w:val="0"/>
            <w:vAlign w:val="top"/>
          </w:tcPr>
          <w:p>
            <w:pPr>
              <w:spacing w:line="360" w:lineRule="auto"/>
              <w:rPr>
                <w:rFonts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661" w:type="dxa"/>
            <w:noWrap w:val="0"/>
            <w:vAlign w:val="center"/>
          </w:tcPr>
          <w:p>
            <w:pPr>
              <w:spacing w:line="360" w:lineRule="auto"/>
              <w:jc w:val="center"/>
              <w:rPr>
                <w:rFonts w:ascii="宋体" w:hAnsi="宋体"/>
                <w:szCs w:val="21"/>
              </w:rPr>
            </w:pPr>
            <w:r>
              <w:rPr>
                <w:rFonts w:hint="eastAsia" w:ascii="宋体" w:hAnsi="宋体"/>
                <w:szCs w:val="21"/>
              </w:rPr>
              <w:t>28</w:t>
            </w:r>
          </w:p>
        </w:tc>
        <w:tc>
          <w:tcPr>
            <w:tcW w:w="3332" w:type="dxa"/>
            <w:noWrap w:val="0"/>
            <w:vAlign w:val="center"/>
          </w:tcPr>
          <w:p>
            <w:pPr>
              <w:spacing w:line="360" w:lineRule="auto"/>
              <w:rPr>
                <w:rFonts w:ascii="宋体" w:hAnsi="宋体"/>
                <w:szCs w:val="21"/>
              </w:rPr>
            </w:pPr>
            <w:r>
              <w:rPr>
                <w:rFonts w:hint="eastAsia" w:ascii="宋体" w:hAnsi="宋体"/>
                <w:szCs w:val="21"/>
              </w:rPr>
              <w:t>优质铜排</w:t>
            </w:r>
          </w:p>
        </w:tc>
        <w:tc>
          <w:tcPr>
            <w:tcW w:w="3602" w:type="dxa"/>
            <w:noWrap w:val="0"/>
            <w:vAlign w:val="center"/>
          </w:tcPr>
          <w:p>
            <w:pPr>
              <w:spacing w:line="360" w:lineRule="auto"/>
              <w:jc w:val="center"/>
              <w:rPr>
                <w:rFonts w:ascii="宋体" w:hAnsi="宋体"/>
                <w:color w:val="000000"/>
                <w:szCs w:val="21"/>
              </w:rPr>
            </w:pPr>
          </w:p>
        </w:tc>
        <w:tc>
          <w:tcPr>
            <w:tcW w:w="1783" w:type="dxa"/>
            <w:noWrap w:val="0"/>
            <w:vAlign w:val="top"/>
          </w:tcPr>
          <w:p>
            <w:pPr>
              <w:spacing w:line="360" w:lineRule="auto"/>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6" w:hRule="atLeast"/>
        </w:trPr>
        <w:tc>
          <w:tcPr>
            <w:tcW w:w="661" w:type="dxa"/>
            <w:noWrap w:val="0"/>
            <w:vAlign w:val="center"/>
          </w:tcPr>
          <w:p>
            <w:pPr>
              <w:spacing w:line="360" w:lineRule="auto"/>
              <w:jc w:val="center"/>
              <w:rPr>
                <w:rFonts w:ascii="宋体" w:hAnsi="宋体"/>
                <w:szCs w:val="21"/>
              </w:rPr>
            </w:pPr>
            <w:r>
              <w:rPr>
                <w:rFonts w:hint="eastAsia" w:ascii="宋体" w:hAnsi="宋体"/>
                <w:szCs w:val="21"/>
              </w:rPr>
              <w:t>26</w:t>
            </w:r>
          </w:p>
        </w:tc>
        <w:tc>
          <w:tcPr>
            <w:tcW w:w="3332" w:type="dxa"/>
            <w:noWrap w:val="0"/>
            <w:vAlign w:val="center"/>
          </w:tcPr>
          <w:p>
            <w:pPr>
              <w:spacing w:line="360" w:lineRule="auto"/>
              <w:rPr>
                <w:rFonts w:ascii="宋体" w:hAnsi="宋体"/>
                <w:szCs w:val="21"/>
              </w:rPr>
            </w:pPr>
            <w:r>
              <w:rPr>
                <w:rFonts w:hint="eastAsia" w:ascii="宋体" w:hAnsi="宋体"/>
                <w:szCs w:val="21"/>
              </w:rPr>
              <w:t>绕组材质</w:t>
            </w:r>
          </w:p>
        </w:tc>
        <w:tc>
          <w:tcPr>
            <w:tcW w:w="3602" w:type="dxa"/>
            <w:noWrap w:val="0"/>
            <w:vAlign w:val="center"/>
          </w:tcPr>
          <w:p>
            <w:pPr>
              <w:spacing w:line="360" w:lineRule="auto"/>
              <w:jc w:val="left"/>
              <w:rPr>
                <w:rFonts w:ascii="宋体" w:hAnsi="宋体"/>
                <w:color w:val="000000"/>
                <w:szCs w:val="21"/>
              </w:rPr>
            </w:pPr>
            <w:r>
              <w:rPr>
                <w:rFonts w:hint="eastAsia" w:ascii="宋体" w:hAnsi="宋体"/>
                <w:color w:val="000000"/>
                <w:szCs w:val="21"/>
              </w:rPr>
              <w:t>绕组采用</w:t>
            </w:r>
            <w:r>
              <w:rPr>
                <w:rFonts w:hint="eastAsia" w:ascii="宋体" w:hAnsi="宋体"/>
                <w:b/>
                <w:bCs/>
                <w:color w:val="000000"/>
                <w:szCs w:val="21"/>
              </w:rPr>
              <w:t>铜导体</w:t>
            </w:r>
            <w:r>
              <w:rPr>
                <w:rFonts w:hint="eastAsia" w:ascii="宋体" w:hAnsi="宋体"/>
                <w:color w:val="000000"/>
                <w:szCs w:val="21"/>
              </w:rPr>
              <w:t>；树脂采用国产优质，铁芯硅钢片采用宝武钢高导磁不老化冷轧硅钢片，并采取有效措施避免涡流。铁芯损耗，励磁电流和磁噪音水平应限制在最低限度。局部放电量不应大于5pc。铁芯应采取防腐措施，变压器运行寿命期限内不锈蚀。</w:t>
            </w:r>
          </w:p>
        </w:tc>
        <w:tc>
          <w:tcPr>
            <w:tcW w:w="1783" w:type="dxa"/>
            <w:noWrap w:val="0"/>
            <w:vAlign w:val="top"/>
          </w:tcPr>
          <w:p>
            <w:pPr>
              <w:spacing w:line="360" w:lineRule="auto"/>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6" w:hRule="atLeast"/>
        </w:trPr>
        <w:tc>
          <w:tcPr>
            <w:tcW w:w="661" w:type="dxa"/>
            <w:noWrap w:val="0"/>
            <w:vAlign w:val="center"/>
          </w:tcPr>
          <w:p>
            <w:pPr>
              <w:spacing w:line="360" w:lineRule="auto"/>
              <w:jc w:val="center"/>
              <w:rPr>
                <w:rFonts w:ascii="宋体" w:hAnsi="宋体"/>
                <w:szCs w:val="21"/>
              </w:rPr>
            </w:pPr>
            <w:r>
              <w:rPr>
                <w:rFonts w:hint="eastAsia" w:ascii="宋体" w:hAnsi="宋体"/>
                <w:szCs w:val="21"/>
              </w:rPr>
              <w:t>27</w:t>
            </w:r>
          </w:p>
        </w:tc>
        <w:tc>
          <w:tcPr>
            <w:tcW w:w="3332" w:type="dxa"/>
            <w:noWrap w:val="0"/>
            <w:vAlign w:val="center"/>
          </w:tcPr>
          <w:p>
            <w:pPr>
              <w:spacing w:line="360" w:lineRule="auto"/>
              <w:rPr>
                <w:rFonts w:ascii="宋体" w:hAnsi="宋体"/>
                <w:szCs w:val="21"/>
              </w:rPr>
            </w:pPr>
            <w:r>
              <w:rPr>
                <w:rFonts w:hint="eastAsia" w:ascii="宋体" w:hAnsi="宋体"/>
                <w:szCs w:val="21"/>
              </w:rPr>
              <w:t>铭牌</w:t>
            </w:r>
          </w:p>
        </w:tc>
        <w:tc>
          <w:tcPr>
            <w:tcW w:w="3602" w:type="dxa"/>
            <w:noWrap w:val="0"/>
            <w:vAlign w:val="center"/>
          </w:tcPr>
          <w:p>
            <w:pPr>
              <w:spacing w:line="360" w:lineRule="auto"/>
              <w:jc w:val="left"/>
              <w:rPr>
                <w:rFonts w:ascii="宋体" w:hAnsi="宋体"/>
                <w:color w:val="000000"/>
                <w:szCs w:val="21"/>
              </w:rPr>
            </w:pPr>
            <w:r>
              <w:rPr>
                <w:rFonts w:hint="eastAsia" w:ascii="宋体" w:hAnsi="宋体"/>
                <w:color w:val="000000"/>
                <w:szCs w:val="21"/>
              </w:rPr>
              <w:t>铭牌：应为不锈钢材料，铭牌字样、符号应清晰耐久，铭牌在设备正常运行时其安装位置应明显可见，应安装在明显的位置处。铭牌上标示的各项内容应满足GB6450的要求，并有KKS编码。</w:t>
            </w:r>
          </w:p>
        </w:tc>
        <w:tc>
          <w:tcPr>
            <w:tcW w:w="1783" w:type="dxa"/>
            <w:noWrap w:val="0"/>
            <w:vAlign w:val="top"/>
          </w:tcPr>
          <w:p>
            <w:pPr>
              <w:spacing w:line="360" w:lineRule="auto"/>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661" w:type="dxa"/>
            <w:noWrap w:val="0"/>
            <w:vAlign w:val="center"/>
          </w:tcPr>
          <w:p>
            <w:pPr>
              <w:spacing w:line="360" w:lineRule="auto"/>
              <w:jc w:val="center"/>
              <w:rPr>
                <w:rFonts w:ascii="宋体" w:hAnsi="宋体"/>
                <w:szCs w:val="21"/>
              </w:rPr>
            </w:pPr>
            <w:r>
              <w:rPr>
                <w:rFonts w:hint="eastAsia" w:ascii="宋体" w:hAnsi="宋体"/>
                <w:szCs w:val="21"/>
              </w:rPr>
              <w:t>28</w:t>
            </w:r>
          </w:p>
        </w:tc>
        <w:tc>
          <w:tcPr>
            <w:tcW w:w="3332" w:type="dxa"/>
            <w:noWrap w:val="0"/>
            <w:vAlign w:val="center"/>
          </w:tcPr>
          <w:p>
            <w:pPr>
              <w:spacing w:line="360" w:lineRule="auto"/>
              <w:rPr>
                <w:rFonts w:ascii="宋体" w:hAnsi="宋体"/>
                <w:szCs w:val="21"/>
              </w:rPr>
            </w:pPr>
            <w:r>
              <w:rPr>
                <w:rFonts w:ascii="宋体" w:hAnsi="宋体"/>
                <w:szCs w:val="21"/>
              </w:rPr>
              <w:t>温升限值（K）</w:t>
            </w:r>
          </w:p>
        </w:tc>
        <w:tc>
          <w:tcPr>
            <w:tcW w:w="3602" w:type="dxa"/>
            <w:noWrap w:val="0"/>
            <w:vAlign w:val="center"/>
          </w:tcPr>
          <w:p>
            <w:pPr>
              <w:spacing w:line="360" w:lineRule="auto"/>
              <w:jc w:val="center"/>
              <w:rPr>
                <w:rFonts w:ascii="宋体" w:hAnsi="宋体"/>
                <w:szCs w:val="21"/>
              </w:rPr>
            </w:pPr>
            <w:r>
              <w:rPr>
                <w:rFonts w:hint="eastAsia" w:ascii="宋体" w:hAnsi="宋体"/>
                <w:szCs w:val="21"/>
              </w:rPr>
              <w:t>100</w:t>
            </w:r>
          </w:p>
        </w:tc>
        <w:tc>
          <w:tcPr>
            <w:tcW w:w="1783" w:type="dxa"/>
            <w:noWrap w:val="0"/>
            <w:vAlign w:val="top"/>
          </w:tcPr>
          <w:p>
            <w:pPr>
              <w:spacing w:line="360" w:lineRule="auto"/>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2" w:hRule="atLeast"/>
        </w:trPr>
        <w:tc>
          <w:tcPr>
            <w:tcW w:w="661" w:type="dxa"/>
            <w:noWrap w:val="0"/>
            <w:vAlign w:val="center"/>
          </w:tcPr>
          <w:p>
            <w:pPr>
              <w:spacing w:line="360" w:lineRule="auto"/>
              <w:jc w:val="center"/>
              <w:rPr>
                <w:rFonts w:ascii="宋体" w:hAnsi="宋体"/>
                <w:szCs w:val="21"/>
              </w:rPr>
            </w:pPr>
            <w:r>
              <w:rPr>
                <w:rFonts w:hint="eastAsia" w:ascii="宋体" w:hAnsi="宋体"/>
                <w:szCs w:val="21"/>
              </w:rPr>
              <w:t>29</w:t>
            </w:r>
          </w:p>
        </w:tc>
        <w:tc>
          <w:tcPr>
            <w:tcW w:w="3332" w:type="dxa"/>
            <w:noWrap w:val="0"/>
            <w:vAlign w:val="center"/>
          </w:tcPr>
          <w:p>
            <w:pPr>
              <w:spacing w:line="360" w:lineRule="auto"/>
              <w:jc w:val="left"/>
              <w:rPr>
                <w:rFonts w:ascii="宋体" w:hAnsi="宋体" w:cs="宋体"/>
                <w:color w:val="000000"/>
                <w:szCs w:val="21"/>
              </w:rPr>
            </w:pPr>
            <w:r>
              <w:rPr>
                <w:rFonts w:hint="eastAsia" w:ascii="宋体" w:hAnsi="宋体"/>
                <w:color w:val="000000"/>
                <w:szCs w:val="21"/>
              </w:rPr>
              <w:t>变压器风扇</w:t>
            </w:r>
          </w:p>
        </w:tc>
        <w:tc>
          <w:tcPr>
            <w:tcW w:w="3602" w:type="dxa"/>
            <w:noWrap w:val="0"/>
            <w:vAlign w:val="center"/>
          </w:tcPr>
          <w:p>
            <w:pPr>
              <w:spacing w:line="360" w:lineRule="auto"/>
              <w:rPr>
                <w:rFonts w:ascii="宋体" w:hAnsi="宋体" w:cs="宋体"/>
                <w:color w:val="000000"/>
                <w:szCs w:val="21"/>
              </w:rPr>
            </w:pPr>
            <w:r>
              <w:rPr>
                <w:rFonts w:hint="eastAsia" w:ascii="宋体" w:hAnsi="宋体"/>
                <w:color w:val="000000"/>
                <w:szCs w:val="21"/>
              </w:rPr>
              <w:t>风扇马达应满足低噪音、无震动、长寿命的使用要求。变压器风扇与风道的配置和布置应合理，风扇应能手动或自动控制，并可通过操作开关实现不同运行状态。每台干式变压器的冷却风机电源由供方自行从变压器低压侧引接和分配。每个供电回路需配置独立的空气开关。</w:t>
            </w:r>
          </w:p>
        </w:tc>
        <w:tc>
          <w:tcPr>
            <w:tcW w:w="1783" w:type="dxa"/>
            <w:noWrap w:val="0"/>
            <w:vAlign w:val="top"/>
          </w:tcPr>
          <w:p>
            <w:pPr>
              <w:spacing w:line="360" w:lineRule="auto"/>
              <w:rPr>
                <w:rFonts w:ascii="宋体" w:hAnsi="宋体"/>
                <w:szCs w:val="21"/>
              </w:rPr>
            </w:pPr>
          </w:p>
        </w:tc>
      </w:tr>
    </w:tbl>
    <w:p>
      <w:pPr>
        <w:spacing w:line="360" w:lineRule="auto"/>
        <w:rPr>
          <w:rFonts w:ascii="宋体" w:hAnsi="宋体"/>
          <w:szCs w:val="21"/>
        </w:rPr>
      </w:pPr>
    </w:p>
    <w:p>
      <w:pPr>
        <w:pStyle w:val="2"/>
        <w:rPr>
          <w:rFonts w:hint="eastAsia"/>
          <w:lang w:val="en-US" w:eastAsia="zh-CN"/>
        </w:rPr>
      </w:pPr>
    </w:p>
    <w:p>
      <w:pPr>
        <w:spacing w:line="360" w:lineRule="auto"/>
        <w:rPr>
          <w:rFonts w:ascii="宋体" w:hAnsi="宋体"/>
          <w:szCs w:val="21"/>
        </w:rPr>
      </w:pPr>
      <w:r>
        <w:rPr>
          <w:rFonts w:hint="eastAsia" w:ascii="宋体" w:hAnsi="宋体"/>
          <w:szCs w:val="21"/>
        </w:rPr>
        <w:t>3）</w:t>
      </w:r>
      <w:r>
        <w:rPr>
          <w:rFonts w:ascii="宋体" w:hAnsi="宋体"/>
          <w:szCs w:val="21"/>
        </w:rPr>
        <w:t>技术要求</w:t>
      </w:r>
    </w:p>
    <w:p>
      <w:pPr>
        <w:spacing w:line="360" w:lineRule="auto"/>
        <w:rPr>
          <w:rFonts w:ascii="宋体" w:hAnsi="宋体"/>
          <w:szCs w:val="21"/>
        </w:rPr>
      </w:pPr>
      <w:r>
        <w:rPr>
          <w:rFonts w:hint="eastAsia" w:ascii="宋体" w:hAnsi="宋体"/>
          <w:szCs w:val="21"/>
        </w:rPr>
        <w:t>A.</w:t>
      </w:r>
      <w:r>
        <w:rPr>
          <w:rFonts w:ascii="宋体" w:hAnsi="宋体"/>
          <w:szCs w:val="21"/>
        </w:rPr>
        <w:t>变压器为三相，双线圈铜绕组，采用SCB</w:t>
      </w:r>
      <w:r>
        <w:rPr>
          <w:rFonts w:hint="eastAsia" w:ascii="宋体" w:hAnsi="宋体"/>
          <w:szCs w:val="21"/>
        </w:rPr>
        <w:t>10</w:t>
      </w:r>
      <w:r>
        <w:rPr>
          <w:rFonts w:ascii="宋体" w:hAnsi="宋体"/>
          <w:szCs w:val="21"/>
        </w:rPr>
        <w:t>型低损耗的环氧树脂浇注干式变压器，其绝缘等级为F级。变压器低压侧中性点直接接地。变压器使用寿命不小于30年。</w:t>
      </w:r>
    </w:p>
    <w:p>
      <w:pPr>
        <w:spacing w:line="360" w:lineRule="auto"/>
        <w:rPr>
          <w:rFonts w:ascii="宋体" w:hAnsi="宋体"/>
          <w:szCs w:val="21"/>
        </w:rPr>
      </w:pPr>
      <w:r>
        <w:rPr>
          <w:rFonts w:hint="eastAsia" w:ascii="宋体" w:hAnsi="宋体"/>
          <w:szCs w:val="21"/>
        </w:rPr>
        <w:t>B.</w:t>
      </w:r>
      <w:r>
        <w:rPr>
          <w:rFonts w:ascii="宋体" w:hAnsi="宋体"/>
          <w:szCs w:val="21"/>
        </w:rPr>
        <w:t>变压器承受短路能力：</w:t>
      </w:r>
    </w:p>
    <w:p>
      <w:pPr>
        <w:spacing w:line="360" w:lineRule="auto"/>
        <w:ind w:firstLine="420" w:firstLineChars="200"/>
        <w:rPr>
          <w:rFonts w:ascii="宋体" w:hAnsi="宋体"/>
          <w:szCs w:val="21"/>
        </w:rPr>
      </w:pPr>
      <w:r>
        <w:rPr>
          <w:rFonts w:ascii="宋体" w:hAnsi="宋体"/>
          <w:szCs w:val="21"/>
        </w:rPr>
        <w:t>变压器高压侧为无穷大电源，电源电压为1</w:t>
      </w:r>
      <w:r>
        <w:rPr>
          <w:rFonts w:ascii="宋体" w:hAnsi="宋体"/>
          <w:szCs w:val="21"/>
        </w:rPr>
        <w:sym w:font="Symbol" w:char="F02E"/>
      </w:r>
      <w:r>
        <w:rPr>
          <w:rFonts w:ascii="宋体" w:hAnsi="宋体"/>
          <w:szCs w:val="21"/>
        </w:rPr>
        <w:t>05Ue。</w:t>
      </w:r>
    </w:p>
    <w:p>
      <w:pPr>
        <w:spacing w:line="360" w:lineRule="auto"/>
        <w:ind w:firstLine="420" w:firstLineChars="200"/>
        <w:rPr>
          <w:rFonts w:ascii="宋体" w:hAnsi="宋体"/>
          <w:szCs w:val="21"/>
        </w:rPr>
      </w:pPr>
      <w:r>
        <w:rPr>
          <w:rFonts w:ascii="宋体" w:hAnsi="宋体"/>
          <w:szCs w:val="21"/>
        </w:rPr>
        <w:t>变压器处于任何分接头位置。</w:t>
      </w:r>
    </w:p>
    <w:p>
      <w:pPr>
        <w:spacing w:line="360" w:lineRule="auto"/>
        <w:ind w:firstLine="420" w:firstLineChars="200"/>
        <w:rPr>
          <w:rFonts w:ascii="宋体" w:hAnsi="宋体"/>
          <w:szCs w:val="21"/>
        </w:rPr>
      </w:pPr>
      <w:r>
        <w:rPr>
          <w:rFonts w:ascii="宋体" w:hAnsi="宋体"/>
          <w:szCs w:val="21"/>
        </w:rPr>
        <w:t>短路热稳定等效时间为4秒。</w:t>
      </w:r>
    </w:p>
    <w:p>
      <w:pPr>
        <w:spacing w:line="360" w:lineRule="auto"/>
        <w:ind w:firstLine="420" w:firstLineChars="200"/>
        <w:rPr>
          <w:rFonts w:ascii="宋体" w:hAnsi="宋体"/>
          <w:szCs w:val="21"/>
        </w:rPr>
      </w:pPr>
      <w:r>
        <w:rPr>
          <w:rFonts w:ascii="宋体" w:hAnsi="宋体"/>
          <w:szCs w:val="21"/>
        </w:rPr>
        <w:t>变压器在上述条件下二次侧出口短路时，应不会产生有害的机械变形和电气损伤，绕组温度不超过130℃。</w:t>
      </w:r>
    </w:p>
    <w:p>
      <w:pPr>
        <w:spacing w:line="360" w:lineRule="auto"/>
        <w:rPr>
          <w:rFonts w:ascii="宋体" w:hAnsi="宋体"/>
          <w:szCs w:val="21"/>
        </w:rPr>
      </w:pPr>
      <w:r>
        <w:rPr>
          <w:rFonts w:hint="eastAsia" w:ascii="宋体" w:hAnsi="宋体"/>
          <w:szCs w:val="21"/>
        </w:rPr>
        <w:t>C.</w:t>
      </w:r>
      <w:r>
        <w:rPr>
          <w:rFonts w:ascii="宋体" w:hAnsi="宋体"/>
          <w:szCs w:val="21"/>
        </w:rPr>
        <w:t>过载能力</w:t>
      </w:r>
    </w:p>
    <w:p>
      <w:pPr>
        <w:spacing w:line="360" w:lineRule="auto"/>
        <w:ind w:firstLine="420" w:firstLineChars="200"/>
        <w:rPr>
          <w:rFonts w:ascii="宋体" w:hAnsi="宋体"/>
          <w:szCs w:val="21"/>
        </w:rPr>
      </w:pPr>
      <w:r>
        <w:rPr>
          <w:rFonts w:ascii="宋体" w:hAnsi="宋体"/>
          <w:szCs w:val="21"/>
        </w:rPr>
        <w:t>风扇不启动变压器在负载为90%S</w:t>
      </w:r>
      <w:r>
        <w:rPr>
          <w:rFonts w:ascii="宋体" w:hAnsi="宋体"/>
          <w:szCs w:val="21"/>
          <w:vertAlign w:val="subscript"/>
        </w:rPr>
        <w:t>N</w:t>
      </w:r>
      <w:r>
        <w:rPr>
          <w:rFonts w:ascii="宋体" w:hAnsi="宋体"/>
          <w:szCs w:val="21"/>
        </w:rPr>
        <w:t>时，10min过载能力不低于1</w:t>
      </w:r>
      <w:r>
        <w:rPr>
          <w:rFonts w:ascii="宋体" w:hAnsi="宋体"/>
          <w:szCs w:val="21"/>
        </w:rPr>
        <w:sym w:font="Symbol" w:char="F02E"/>
      </w:r>
      <w:r>
        <w:rPr>
          <w:rFonts w:ascii="宋体" w:hAnsi="宋体"/>
          <w:szCs w:val="21"/>
        </w:rPr>
        <w:t>4S</w:t>
      </w:r>
      <w:r>
        <w:rPr>
          <w:rFonts w:ascii="宋体" w:hAnsi="宋体"/>
          <w:szCs w:val="21"/>
          <w:vertAlign w:val="subscript"/>
        </w:rPr>
        <w:t>N</w:t>
      </w:r>
      <w:r>
        <w:rPr>
          <w:rFonts w:ascii="宋体" w:hAnsi="宋体"/>
          <w:szCs w:val="21"/>
        </w:rPr>
        <w:t>，供方提供变压器过载曲线图(或表)。</w:t>
      </w:r>
    </w:p>
    <w:p>
      <w:pPr>
        <w:spacing w:line="360" w:lineRule="auto"/>
        <w:ind w:firstLine="420" w:firstLineChars="200"/>
        <w:rPr>
          <w:rFonts w:ascii="宋体" w:hAnsi="宋体"/>
          <w:szCs w:val="21"/>
        </w:rPr>
      </w:pPr>
      <w:r>
        <w:rPr>
          <w:rFonts w:ascii="宋体" w:hAnsi="宋体"/>
          <w:szCs w:val="21"/>
        </w:rPr>
        <w:t>在最高的环境温度下空气自然冷却条件下应能保证变压器额定容量输出，环境温度20℃时，允许10%过负荷连续运行。</w:t>
      </w:r>
    </w:p>
    <w:p>
      <w:pPr>
        <w:spacing w:line="360" w:lineRule="auto"/>
        <w:ind w:firstLine="420" w:firstLineChars="200"/>
        <w:rPr>
          <w:rFonts w:ascii="宋体" w:hAnsi="宋体"/>
          <w:szCs w:val="21"/>
        </w:rPr>
      </w:pPr>
      <w:r>
        <w:rPr>
          <w:rFonts w:ascii="宋体" w:hAnsi="宋体"/>
          <w:szCs w:val="21"/>
        </w:rPr>
        <w:t>每台干式变压器上加装一套过负荷的冷却风扇，风机启动后，正常使用条件下，变压器输出容量可长期过负荷50%，适用于各种急救过负荷或断续过负荷运行。正常运行的冷却方式为AN，即额定负荷时仍然为自然风冷。铭牌上应标明AN/AF的输出容量。具有良好的耐高强度的绝缘结构，设有轴向风道，散热性良好。可随时投运，停止运行一段时间后，可不经干燥而直接投入电网安全运行。</w:t>
      </w:r>
    </w:p>
    <w:p>
      <w:pPr>
        <w:spacing w:line="360" w:lineRule="auto"/>
        <w:rPr>
          <w:rFonts w:ascii="宋体" w:hAnsi="宋体"/>
          <w:szCs w:val="21"/>
        </w:rPr>
      </w:pPr>
      <w:r>
        <w:rPr>
          <w:rFonts w:ascii="宋体" w:hAnsi="宋体"/>
          <w:szCs w:val="21"/>
        </w:rPr>
        <w:t>阻燃性好，自身不燃，遇到火源时，不产生有害气体。变压器为低损耗节能型，绕组采用无氧铜导体，可以是导线式或箔式。绝缘树脂采用</w:t>
      </w:r>
      <w:r>
        <w:rPr>
          <w:rFonts w:hint="eastAsia" w:ascii="宋体" w:hAnsi="宋体"/>
          <w:szCs w:val="21"/>
        </w:rPr>
        <w:t>优质</w:t>
      </w:r>
      <w:r>
        <w:rPr>
          <w:rFonts w:ascii="宋体" w:hAnsi="宋体"/>
          <w:szCs w:val="21"/>
        </w:rPr>
        <w:t>材料，全缠绕，簿绝缘，硅钢片采用磁滞伸缩量较小的</w:t>
      </w:r>
      <w:r>
        <w:rPr>
          <w:rFonts w:hint="eastAsia" w:ascii="宋体" w:hAnsi="宋体"/>
          <w:szCs w:val="21"/>
        </w:rPr>
        <w:t>国产优质</w:t>
      </w:r>
      <w:r>
        <w:rPr>
          <w:rFonts w:ascii="宋体" w:hAnsi="宋体"/>
          <w:szCs w:val="21"/>
        </w:rPr>
        <w:t>晶粒取向高导磁优质硅钢片，并采取有效措施避免涡流损失，降低变压器损耗。钢类部件采用热镀锌。</w:t>
      </w:r>
    </w:p>
    <w:p>
      <w:pPr>
        <w:spacing w:line="360" w:lineRule="auto"/>
        <w:rPr>
          <w:rFonts w:ascii="宋体" w:hAnsi="宋体"/>
          <w:szCs w:val="21"/>
        </w:rPr>
      </w:pPr>
      <w:r>
        <w:rPr>
          <w:rFonts w:hint="eastAsia" w:ascii="宋体" w:hAnsi="宋体"/>
          <w:szCs w:val="21"/>
        </w:rPr>
        <w:t>D.</w:t>
      </w:r>
      <w:r>
        <w:rPr>
          <w:rFonts w:ascii="宋体" w:hAnsi="宋体"/>
          <w:szCs w:val="21"/>
        </w:rPr>
        <w:t>产品散热性好，机械强度高，不会因温度变化在变压器运行寿命期内导致线圈表面龟裂。</w:t>
      </w:r>
    </w:p>
    <w:p>
      <w:pPr>
        <w:spacing w:line="360" w:lineRule="auto"/>
        <w:rPr>
          <w:rFonts w:ascii="宋体" w:hAnsi="宋体"/>
          <w:szCs w:val="21"/>
        </w:rPr>
      </w:pPr>
      <w:r>
        <w:rPr>
          <w:rFonts w:hint="eastAsia" w:ascii="宋体" w:hAnsi="宋体"/>
          <w:szCs w:val="21"/>
        </w:rPr>
        <w:t>E.</w:t>
      </w:r>
      <w:r>
        <w:rPr>
          <w:rFonts w:ascii="宋体" w:hAnsi="宋体"/>
          <w:szCs w:val="21"/>
        </w:rPr>
        <w:t>变压器（AN/AF）额定容量应为空气自然冷却（AN）条件下的容量，变压器允许短时间过载能力在空气自然冷却情况下应满足下表的要求(正常寿命,过载前已带满负荷)。</w:t>
      </w:r>
    </w:p>
    <w:tbl>
      <w:tblPr>
        <w:tblStyle w:val="45"/>
        <w:tblW w:w="92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03"/>
        <w:gridCol w:w="62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003" w:type="dxa"/>
            <w:noWrap w:val="0"/>
            <w:vAlign w:val="center"/>
          </w:tcPr>
          <w:p>
            <w:pPr>
              <w:pStyle w:val="290"/>
              <w:snapToGrid w:val="0"/>
              <w:spacing w:line="360" w:lineRule="auto"/>
              <w:jc w:val="center"/>
              <w:rPr>
                <w:rFonts w:ascii="宋体" w:hAnsi="宋体"/>
                <w:szCs w:val="21"/>
              </w:rPr>
            </w:pPr>
            <w:r>
              <w:rPr>
                <w:rFonts w:ascii="宋体" w:hAnsi="宋体"/>
                <w:szCs w:val="21"/>
              </w:rPr>
              <w:t>过电流%</w:t>
            </w:r>
          </w:p>
        </w:tc>
        <w:tc>
          <w:tcPr>
            <w:tcW w:w="6284" w:type="dxa"/>
            <w:noWrap w:val="0"/>
            <w:vAlign w:val="center"/>
          </w:tcPr>
          <w:p>
            <w:pPr>
              <w:pStyle w:val="290"/>
              <w:snapToGrid w:val="0"/>
              <w:spacing w:line="360" w:lineRule="auto"/>
              <w:jc w:val="center"/>
              <w:rPr>
                <w:rFonts w:ascii="宋体" w:hAnsi="宋体"/>
                <w:szCs w:val="21"/>
              </w:rPr>
            </w:pPr>
            <w:r>
              <w:rPr>
                <w:rFonts w:ascii="宋体" w:hAnsi="宋体"/>
                <w:szCs w:val="21"/>
              </w:rPr>
              <w:t>允许运行时间（分）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3003" w:type="dxa"/>
            <w:noWrap w:val="0"/>
            <w:vAlign w:val="center"/>
          </w:tcPr>
          <w:p>
            <w:pPr>
              <w:pStyle w:val="290"/>
              <w:spacing w:line="360" w:lineRule="auto"/>
              <w:jc w:val="center"/>
              <w:rPr>
                <w:rFonts w:ascii="宋体" w:hAnsi="宋体"/>
                <w:szCs w:val="21"/>
              </w:rPr>
            </w:pPr>
            <w:r>
              <w:rPr>
                <w:rFonts w:ascii="宋体" w:hAnsi="宋体"/>
                <w:szCs w:val="21"/>
              </w:rPr>
              <w:t>20</w:t>
            </w:r>
          </w:p>
        </w:tc>
        <w:tc>
          <w:tcPr>
            <w:tcW w:w="6284" w:type="dxa"/>
            <w:noWrap w:val="0"/>
            <w:vAlign w:val="center"/>
          </w:tcPr>
          <w:p>
            <w:pPr>
              <w:pStyle w:val="290"/>
              <w:spacing w:line="360" w:lineRule="auto"/>
              <w:jc w:val="center"/>
              <w:rPr>
                <w:rFonts w:ascii="宋体" w:hAnsi="宋体"/>
                <w:szCs w:val="21"/>
              </w:rPr>
            </w:pPr>
            <w:r>
              <w:rPr>
                <w:rFonts w:ascii="宋体" w:hAnsi="宋体"/>
                <w:szCs w:val="21"/>
              </w:rPr>
              <w:t>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3003" w:type="dxa"/>
            <w:noWrap w:val="0"/>
            <w:vAlign w:val="center"/>
          </w:tcPr>
          <w:p>
            <w:pPr>
              <w:pStyle w:val="290"/>
              <w:spacing w:line="360" w:lineRule="auto"/>
              <w:jc w:val="center"/>
              <w:rPr>
                <w:rFonts w:ascii="宋体" w:hAnsi="宋体"/>
                <w:szCs w:val="21"/>
              </w:rPr>
            </w:pPr>
            <w:r>
              <w:rPr>
                <w:rFonts w:ascii="宋体" w:hAnsi="宋体"/>
                <w:szCs w:val="21"/>
              </w:rPr>
              <w:t>30</w:t>
            </w:r>
          </w:p>
        </w:tc>
        <w:tc>
          <w:tcPr>
            <w:tcW w:w="6284" w:type="dxa"/>
            <w:noWrap w:val="0"/>
            <w:vAlign w:val="center"/>
          </w:tcPr>
          <w:p>
            <w:pPr>
              <w:pStyle w:val="290"/>
              <w:spacing w:line="360" w:lineRule="auto"/>
              <w:jc w:val="center"/>
              <w:rPr>
                <w:rFonts w:ascii="宋体" w:hAnsi="宋体"/>
                <w:szCs w:val="21"/>
              </w:rPr>
            </w:pPr>
            <w:r>
              <w:rPr>
                <w:rFonts w:ascii="宋体" w:hAnsi="宋体"/>
                <w:szCs w:val="21"/>
              </w:rPr>
              <w:t>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3003" w:type="dxa"/>
            <w:noWrap w:val="0"/>
            <w:vAlign w:val="center"/>
          </w:tcPr>
          <w:p>
            <w:pPr>
              <w:pStyle w:val="290"/>
              <w:spacing w:line="360" w:lineRule="auto"/>
              <w:jc w:val="center"/>
              <w:rPr>
                <w:rFonts w:ascii="宋体" w:hAnsi="宋体"/>
                <w:szCs w:val="21"/>
              </w:rPr>
            </w:pPr>
            <w:r>
              <w:rPr>
                <w:rFonts w:ascii="宋体" w:hAnsi="宋体"/>
                <w:szCs w:val="21"/>
              </w:rPr>
              <w:t>40</w:t>
            </w:r>
          </w:p>
        </w:tc>
        <w:tc>
          <w:tcPr>
            <w:tcW w:w="6284" w:type="dxa"/>
            <w:noWrap w:val="0"/>
            <w:vAlign w:val="center"/>
          </w:tcPr>
          <w:p>
            <w:pPr>
              <w:pStyle w:val="290"/>
              <w:spacing w:line="360" w:lineRule="auto"/>
              <w:jc w:val="center"/>
              <w:rPr>
                <w:rFonts w:ascii="宋体" w:hAnsi="宋体"/>
                <w:szCs w:val="21"/>
              </w:rPr>
            </w:pPr>
            <w:r>
              <w:rPr>
                <w:rFonts w:ascii="宋体" w:hAnsi="宋体"/>
                <w:szCs w:val="21"/>
              </w:rPr>
              <w:t>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3003" w:type="dxa"/>
            <w:noWrap w:val="0"/>
            <w:vAlign w:val="center"/>
          </w:tcPr>
          <w:p>
            <w:pPr>
              <w:pStyle w:val="290"/>
              <w:spacing w:line="360" w:lineRule="auto"/>
              <w:jc w:val="center"/>
              <w:rPr>
                <w:rFonts w:ascii="宋体" w:hAnsi="宋体"/>
                <w:szCs w:val="21"/>
              </w:rPr>
            </w:pPr>
            <w:r>
              <w:rPr>
                <w:rFonts w:ascii="宋体" w:hAnsi="宋体"/>
                <w:szCs w:val="21"/>
              </w:rPr>
              <w:t>50</w:t>
            </w:r>
          </w:p>
        </w:tc>
        <w:tc>
          <w:tcPr>
            <w:tcW w:w="6284" w:type="dxa"/>
            <w:noWrap w:val="0"/>
            <w:vAlign w:val="center"/>
          </w:tcPr>
          <w:p>
            <w:pPr>
              <w:pStyle w:val="290"/>
              <w:spacing w:line="360" w:lineRule="auto"/>
              <w:jc w:val="center"/>
              <w:rPr>
                <w:rFonts w:ascii="宋体" w:hAnsi="宋体"/>
                <w:szCs w:val="21"/>
              </w:rPr>
            </w:pPr>
            <w:r>
              <w:rPr>
                <w:rFonts w:ascii="宋体" w:hAnsi="宋体"/>
                <w:szCs w:val="21"/>
              </w:rPr>
              <w:t>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3003" w:type="dxa"/>
            <w:noWrap w:val="0"/>
            <w:vAlign w:val="center"/>
          </w:tcPr>
          <w:p>
            <w:pPr>
              <w:pStyle w:val="290"/>
              <w:spacing w:line="360" w:lineRule="auto"/>
              <w:jc w:val="center"/>
              <w:rPr>
                <w:rFonts w:ascii="宋体" w:hAnsi="宋体"/>
                <w:szCs w:val="21"/>
              </w:rPr>
            </w:pPr>
            <w:r>
              <w:rPr>
                <w:rFonts w:ascii="宋体" w:hAnsi="宋体"/>
                <w:szCs w:val="21"/>
              </w:rPr>
              <w:t>60</w:t>
            </w:r>
          </w:p>
        </w:tc>
        <w:tc>
          <w:tcPr>
            <w:tcW w:w="6284" w:type="dxa"/>
            <w:noWrap w:val="0"/>
            <w:vAlign w:val="center"/>
          </w:tcPr>
          <w:p>
            <w:pPr>
              <w:pStyle w:val="290"/>
              <w:spacing w:line="360" w:lineRule="auto"/>
              <w:jc w:val="center"/>
              <w:rPr>
                <w:rFonts w:ascii="宋体" w:hAnsi="宋体"/>
                <w:szCs w:val="21"/>
              </w:rPr>
            </w:pPr>
            <w:r>
              <w:rPr>
                <w:rFonts w:ascii="宋体" w:hAnsi="宋体"/>
                <w:szCs w:val="21"/>
              </w:rPr>
              <w:t>5</w:t>
            </w:r>
          </w:p>
        </w:tc>
      </w:tr>
    </w:tbl>
    <w:p>
      <w:pPr>
        <w:spacing w:line="360" w:lineRule="auto"/>
        <w:ind w:firstLine="482"/>
        <w:rPr>
          <w:b/>
          <w:szCs w:val="21"/>
        </w:rPr>
      </w:pPr>
      <w:r>
        <w:rPr>
          <w:rFonts w:hint="eastAsia" w:ascii="宋体" w:hAnsi="宋体"/>
          <w:szCs w:val="21"/>
          <w:lang w:val="nb-NO"/>
        </w:rPr>
        <w:t>变压器</w:t>
      </w:r>
      <w:r>
        <w:rPr>
          <w:rFonts w:hint="eastAsia" w:ascii="宋体" w:hAnsi="宋体"/>
          <w:szCs w:val="21"/>
        </w:rPr>
        <w:t>参考</w:t>
      </w:r>
      <w:r>
        <w:rPr>
          <w:rFonts w:hint="eastAsia" w:ascii="宋体" w:hAnsi="宋体"/>
          <w:szCs w:val="21"/>
          <w:lang w:val="nb-NO"/>
        </w:rPr>
        <w:t>选用</w:t>
      </w:r>
      <w:r>
        <w:rPr>
          <w:rFonts w:hint="eastAsia"/>
          <w:szCs w:val="21"/>
        </w:rPr>
        <w:t>许继电气股份有限公司</w:t>
      </w:r>
      <w:r>
        <w:rPr>
          <w:rFonts w:hint="eastAsia" w:ascii="宋体" w:hAnsi="宋体"/>
          <w:bCs/>
          <w:color w:val="000000"/>
          <w:szCs w:val="21"/>
        </w:rPr>
        <w:t>、</w:t>
      </w:r>
      <w:r>
        <w:rPr>
          <w:rFonts w:hint="eastAsia" w:ascii="宋体" w:hAnsi="宋体" w:cs="宋体"/>
          <w:color w:val="000000"/>
          <w:kern w:val="0"/>
          <w:szCs w:val="21"/>
        </w:rPr>
        <w:t>海南金盘智能科技有限公司、天津特变电工变压器有限公司，</w:t>
      </w:r>
      <w:r>
        <w:rPr>
          <w:rFonts w:hint="eastAsia" w:ascii="宋体" w:hAnsi="宋体" w:cs="宋体"/>
          <w:kern w:val="0"/>
          <w:szCs w:val="21"/>
        </w:rPr>
        <w:t>同等及以上品牌。</w:t>
      </w:r>
    </w:p>
    <w:p>
      <w:pPr>
        <w:spacing w:line="400" w:lineRule="exact"/>
        <w:ind w:firstLine="480"/>
        <w:rPr>
          <w:rFonts w:hAnsi="宋体"/>
          <w:sz w:val="24"/>
        </w:rPr>
      </w:pPr>
      <w:r>
        <w:rPr>
          <w:rFonts w:hint="eastAsia" w:hAnsi="宋体"/>
          <w:sz w:val="24"/>
        </w:rPr>
        <w:t>8.电缆</w:t>
      </w:r>
    </w:p>
    <w:p>
      <w:pPr>
        <w:spacing w:line="400" w:lineRule="exact"/>
        <w:ind w:firstLine="480"/>
        <w:rPr>
          <w:rFonts w:ascii="宋体" w:hAnsi="宋体"/>
          <w:szCs w:val="21"/>
        </w:rPr>
      </w:pPr>
      <w:r>
        <w:rPr>
          <w:rFonts w:hint="eastAsia" w:ascii="宋体" w:hAnsi="宋体"/>
          <w:szCs w:val="21"/>
        </w:rPr>
        <w:t>所有产品符合设计技术参数要求，高压电缆符合设计参数要求且在郑州市供电公司备案，低压电缆导体应选用</w:t>
      </w:r>
      <w:r>
        <w:rPr>
          <w:rFonts w:ascii="Arial" w:hAnsi="Arial" w:cs="Arial"/>
          <w:szCs w:val="21"/>
        </w:rPr>
        <w:t>高纯阴极铜</w:t>
      </w:r>
      <w:r>
        <w:rPr>
          <w:rFonts w:hint="eastAsia" w:ascii="宋体" w:hAnsi="宋体"/>
          <w:szCs w:val="21"/>
        </w:rPr>
        <w:t>，铜排纯度要求在99.95%以上，</w:t>
      </w:r>
      <w:r>
        <w:rPr>
          <w:rFonts w:hint="eastAsia" w:cs="Arial"/>
          <w:kern w:val="0"/>
          <w:szCs w:val="21"/>
        </w:rPr>
        <w:t>绝缘厚度平均值不小于规定的标称值，绝缘任一点最薄点的测量厚度不小于标称值的90%减去0</w:t>
      </w:r>
      <w:r>
        <w:rPr>
          <w:rFonts w:cs="Arial"/>
          <w:kern w:val="0"/>
          <w:szCs w:val="21"/>
        </w:rPr>
        <w:t>.1</w:t>
      </w:r>
      <w:r>
        <w:rPr>
          <w:rFonts w:hint="eastAsia" w:cs="Arial"/>
          <w:kern w:val="0"/>
          <w:szCs w:val="21"/>
        </w:rPr>
        <w:t>mm</w:t>
      </w:r>
      <w:r>
        <w:rPr>
          <w:rFonts w:hint="eastAsia" w:ascii="宋体" w:hAnsi="宋体"/>
          <w:szCs w:val="21"/>
        </w:rPr>
        <w:t>。</w:t>
      </w:r>
    </w:p>
    <w:p>
      <w:pPr>
        <w:spacing w:line="400" w:lineRule="exact"/>
        <w:ind w:firstLine="480"/>
        <w:rPr>
          <w:rFonts w:ascii="宋体" w:hAnsi="宋体"/>
          <w:sz w:val="24"/>
        </w:rPr>
      </w:pPr>
      <w:r>
        <w:rPr>
          <w:rFonts w:hint="eastAsia" w:ascii="宋体" w:hAnsi="宋体"/>
          <w:szCs w:val="21"/>
        </w:rPr>
        <w:t>参考品牌：满足供电公司要求，华力、金水等，同等及以上品牌的产品</w:t>
      </w:r>
      <w:r>
        <w:rPr>
          <w:rFonts w:hint="eastAsia" w:ascii="宋体" w:hAnsi="宋体"/>
          <w:sz w:val="24"/>
        </w:rPr>
        <w:t>。</w:t>
      </w:r>
    </w:p>
    <w:p>
      <w:pPr>
        <w:spacing w:line="400" w:lineRule="exact"/>
        <w:ind w:firstLine="482"/>
        <w:rPr>
          <w:rFonts w:ascii="宋体" w:hAnsi="宋体"/>
          <w:b/>
          <w:szCs w:val="21"/>
        </w:rPr>
      </w:pPr>
      <w:r>
        <w:rPr>
          <w:rFonts w:hint="eastAsia"/>
          <w:b/>
          <w:szCs w:val="21"/>
        </w:rPr>
        <w:t>三、</w:t>
      </w:r>
      <w:r>
        <w:rPr>
          <w:rFonts w:hint="eastAsia" w:ascii="宋体" w:hAnsi="宋体"/>
          <w:b/>
          <w:szCs w:val="21"/>
        </w:rPr>
        <w:t>成套设备制造厂要求</w:t>
      </w:r>
    </w:p>
    <w:p>
      <w:pPr>
        <w:spacing w:line="400" w:lineRule="exact"/>
        <w:ind w:firstLine="480"/>
        <w:rPr>
          <w:szCs w:val="21"/>
        </w:rPr>
      </w:pPr>
      <w:r>
        <w:rPr>
          <w:rFonts w:hint="eastAsia"/>
          <w:szCs w:val="21"/>
        </w:rPr>
        <w:t>投标人所选成套设备制作厂家须满足以下条件，经招标人考察合格后方可使用。</w:t>
      </w:r>
    </w:p>
    <w:p>
      <w:pPr>
        <w:spacing w:line="400" w:lineRule="exact"/>
        <w:ind w:firstLine="480"/>
        <w:rPr>
          <w:szCs w:val="21"/>
        </w:rPr>
      </w:pPr>
      <w:r>
        <w:rPr>
          <w:rFonts w:hint="eastAsia"/>
          <w:szCs w:val="21"/>
        </w:rPr>
        <w:t>1. 国内注册的独立法人机构，具有有效的营业执照，遵守国家法律法规，企业业绩和信誉良好。</w:t>
      </w:r>
    </w:p>
    <w:p>
      <w:pPr>
        <w:spacing w:line="400" w:lineRule="exact"/>
        <w:ind w:firstLine="480"/>
        <w:rPr>
          <w:szCs w:val="21"/>
        </w:rPr>
      </w:pPr>
      <w:r>
        <w:rPr>
          <w:rFonts w:hint="eastAsia"/>
          <w:szCs w:val="21"/>
        </w:rPr>
        <w:t>2. 须具备本项目所用产品的制造、安装、调试能力，生产设备符合国家省市标准规范及郑州供电公司标准要求并备案，产品具有有效的3C强制认证。</w:t>
      </w:r>
    </w:p>
    <w:p>
      <w:pPr>
        <w:spacing w:line="360" w:lineRule="auto"/>
        <w:ind w:firstLine="482"/>
        <w:rPr>
          <w:szCs w:val="21"/>
        </w:rPr>
      </w:pPr>
      <w:r>
        <w:rPr>
          <w:rFonts w:hint="eastAsia"/>
          <w:szCs w:val="21"/>
        </w:rPr>
        <w:t>3. 通过ISO9001系列质量体系认证，企业质量管理体系、生产质量控制措施完善。</w:t>
      </w:r>
    </w:p>
    <w:p>
      <w:pPr>
        <w:spacing w:line="360" w:lineRule="auto"/>
        <w:ind w:firstLine="482"/>
        <w:rPr>
          <w:szCs w:val="21"/>
        </w:rPr>
      </w:pPr>
      <w:r>
        <w:rPr>
          <w:rFonts w:hint="eastAsia"/>
          <w:szCs w:val="21"/>
        </w:rPr>
        <w:t>4. 近三年类似公共建筑项目的成套设备供货业绩，单项高低压开关柜200万元及以上的供货业绩不少于3个，并良好使用证明材料（用户出具）。</w:t>
      </w:r>
    </w:p>
    <w:p>
      <w:pPr>
        <w:spacing w:line="360" w:lineRule="auto"/>
        <w:ind w:firstLine="482"/>
        <w:rPr>
          <w:szCs w:val="21"/>
        </w:rPr>
      </w:pPr>
      <w:r>
        <w:rPr>
          <w:rFonts w:hint="eastAsia"/>
          <w:szCs w:val="21"/>
        </w:rPr>
        <w:t>5. 具有完善的售后服务体系，在郑州设有专门的售后服务点，能快速响应。</w:t>
      </w:r>
    </w:p>
    <w:p>
      <w:pPr>
        <w:spacing w:line="360" w:lineRule="auto"/>
        <w:ind w:firstLine="482"/>
        <w:rPr>
          <w:szCs w:val="21"/>
        </w:rPr>
      </w:pPr>
      <w:r>
        <w:rPr>
          <w:rFonts w:hint="eastAsia"/>
          <w:szCs w:val="21"/>
        </w:rPr>
        <w:t>6. 制造厂家应选择国内一线品牌。</w:t>
      </w:r>
    </w:p>
    <w:p>
      <w:pPr>
        <w:spacing w:line="400" w:lineRule="exact"/>
        <w:ind w:firstLine="480"/>
        <w:rPr>
          <w:rFonts w:hAnsi="宋体"/>
          <w:b/>
          <w:bCs/>
          <w:szCs w:val="21"/>
        </w:rPr>
      </w:pPr>
      <w:r>
        <w:rPr>
          <w:rFonts w:hint="eastAsia" w:hAnsi="宋体"/>
          <w:b/>
          <w:bCs/>
          <w:szCs w:val="21"/>
        </w:rPr>
        <w:t>四、质量保证</w:t>
      </w:r>
    </w:p>
    <w:p>
      <w:pPr>
        <w:spacing w:line="400" w:lineRule="exact"/>
        <w:ind w:firstLine="480"/>
        <w:rPr>
          <w:rFonts w:hAnsi="宋体"/>
          <w:szCs w:val="21"/>
        </w:rPr>
      </w:pPr>
      <w:r>
        <w:rPr>
          <w:rFonts w:hint="eastAsia" w:hAnsi="宋体"/>
          <w:szCs w:val="21"/>
        </w:rPr>
        <w:t>1投标人应保证提供的材料设备为全新的、先进的、成熟可靠的，符合国家、省市、供电公司和本招标文件的要求。</w:t>
      </w:r>
    </w:p>
    <w:p>
      <w:pPr>
        <w:spacing w:line="400" w:lineRule="exact"/>
        <w:ind w:firstLine="420" w:firstLineChars="200"/>
        <w:rPr>
          <w:rFonts w:hAnsi="宋体"/>
          <w:szCs w:val="21"/>
        </w:rPr>
      </w:pPr>
      <w:r>
        <w:rPr>
          <w:rFonts w:hint="eastAsia" w:hAnsi="宋体"/>
          <w:szCs w:val="21"/>
        </w:rPr>
        <w:t>2..投标人应在投标文件中依次详细说明各类设备的规格型号、数量、产地、生产厂家等内容，让招标人审核认可，如不能满足技术要求的，招标人有权要求中标人更换，且中标价格不予调整。</w:t>
      </w:r>
    </w:p>
    <w:p>
      <w:pPr>
        <w:spacing w:line="400" w:lineRule="exact"/>
        <w:ind w:firstLine="420" w:firstLineChars="200"/>
        <w:rPr>
          <w:rFonts w:hAnsi="宋体"/>
          <w:bCs/>
          <w:szCs w:val="21"/>
        </w:rPr>
      </w:pPr>
      <w:r>
        <w:rPr>
          <w:rFonts w:hint="eastAsia" w:hAnsi="宋体"/>
          <w:bCs/>
          <w:szCs w:val="21"/>
        </w:rPr>
        <w:t>3 .订货生产前各类设备的详细的规格型号、数量、产地、生产厂家等内容，必须报招标人审核认可；投标人选用的规格型号，招标人有权通过市场考察确认，如不能满足技术要求的，招标人有权要求中标人更换，且合同价格不予调整。</w:t>
      </w:r>
    </w:p>
    <w:p>
      <w:pPr>
        <w:spacing w:line="400" w:lineRule="exact"/>
        <w:ind w:firstLine="480"/>
        <w:rPr>
          <w:rFonts w:hAnsi="宋体"/>
          <w:szCs w:val="21"/>
        </w:rPr>
      </w:pPr>
      <w:r>
        <w:rPr>
          <w:rFonts w:hint="eastAsia" w:hAnsi="宋体"/>
          <w:szCs w:val="21"/>
        </w:rPr>
        <w:t>4.投标人应提供所有安装和检修所需的专用工器具、备品备料，并提供详细的供货清单，所需价格含在投标报价内。</w:t>
      </w:r>
    </w:p>
    <w:p>
      <w:pPr>
        <w:spacing w:line="400" w:lineRule="exact"/>
        <w:ind w:firstLine="480"/>
        <w:rPr>
          <w:rFonts w:hAnsi="宋体"/>
          <w:szCs w:val="21"/>
        </w:rPr>
      </w:pPr>
      <w:r>
        <w:rPr>
          <w:rFonts w:hint="eastAsia" w:hAnsi="宋体"/>
          <w:szCs w:val="21"/>
        </w:rPr>
        <w:t>5.随设备提交技术资料，包括但不限于设备图纸、说明书、技术文件、运行和维护手册、设备特性、分析方法和有关注意事项。</w:t>
      </w:r>
    </w:p>
    <w:p>
      <w:pPr>
        <w:spacing w:line="400" w:lineRule="exact"/>
        <w:ind w:firstLine="480"/>
        <w:rPr>
          <w:rFonts w:hAnsi="宋体"/>
          <w:szCs w:val="21"/>
        </w:rPr>
      </w:pPr>
      <w:r>
        <w:rPr>
          <w:rFonts w:hint="eastAsia" w:hAnsi="宋体"/>
          <w:szCs w:val="21"/>
        </w:rPr>
        <w:t>6.投标人负责对招标人的工程技术、操作人员进行技术培训，培训应达到运行和维护手册的编制及熟练操作、检修设备。</w:t>
      </w:r>
    </w:p>
    <w:p>
      <w:pPr>
        <w:spacing w:line="400" w:lineRule="exact"/>
        <w:ind w:firstLine="480"/>
        <w:rPr>
          <w:rFonts w:hAnsi="宋体"/>
          <w:szCs w:val="21"/>
        </w:rPr>
      </w:pPr>
      <w:r>
        <w:rPr>
          <w:rFonts w:hint="eastAsia" w:hAnsi="宋体"/>
          <w:szCs w:val="21"/>
        </w:rPr>
        <w:t>7设备检验、监造</w:t>
      </w:r>
    </w:p>
    <w:p>
      <w:pPr>
        <w:spacing w:line="400" w:lineRule="exact"/>
        <w:ind w:firstLine="480"/>
        <w:rPr>
          <w:rFonts w:hAnsi="宋体"/>
          <w:szCs w:val="21"/>
        </w:rPr>
      </w:pPr>
      <w:r>
        <w:rPr>
          <w:rFonts w:hint="eastAsia" w:hAnsi="宋体"/>
          <w:szCs w:val="21"/>
        </w:rPr>
        <w:t>7.1设备进场前，投标人提供有效的符合国家标准合（或）IEC标准的型式试验报告，所有产品出厂前应进行试验合格后方可发货，进场后按有关标准进行试验，试验结果不满足有关标准、招标文件要求的，由投标人负全责。</w:t>
      </w:r>
    </w:p>
    <w:p>
      <w:pPr>
        <w:spacing w:line="400" w:lineRule="exact"/>
        <w:ind w:firstLine="480"/>
        <w:rPr>
          <w:rFonts w:hAnsi="宋体"/>
          <w:szCs w:val="21"/>
        </w:rPr>
      </w:pPr>
      <w:r>
        <w:rPr>
          <w:rFonts w:hint="eastAsia" w:hAnsi="宋体"/>
          <w:szCs w:val="21"/>
        </w:rPr>
        <w:t>7.2在设备生产、出厂试验过程中，招标人有权派遣检验人员到投标人或其分包的设备制造商工厂进行驻厂监造和（或）检验，但监造或检验不免除投标人的合同责任，也不代替设备进场后的检验试验。</w:t>
      </w:r>
    </w:p>
    <w:p>
      <w:pPr>
        <w:tabs>
          <w:tab w:val="left" w:pos="420"/>
        </w:tabs>
        <w:spacing w:line="360" w:lineRule="auto"/>
        <w:ind w:firstLine="210" w:firstLineChars="100"/>
        <w:rPr>
          <w:rFonts w:hAnsi="宋体"/>
          <w:szCs w:val="21"/>
        </w:rPr>
      </w:pPr>
      <w:r>
        <w:rPr>
          <w:rFonts w:hint="eastAsia" w:hAnsi="宋体"/>
          <w:szCs w:val="21"/>
        </w:rPr>
        <w:t xml:space="preserve">  7.3投标人应将设备生产、试验、检验的日程安排提前通知招标人。</w:t>
      </w:r>
    </w:p>
    <w:p>
      <w:pPr>
        <w:pStyle w:val="2"/>
        <w:rPr>
          <w:sz w:val="21"/>
          <w:szCs w:val="21"/>
        </w:rPr>
      </w:pPr>
    </w:p>
    <w:p>
      <w:pPr>
        <w:pStyle w:val="2"/>
        <w:ind w:firstLine="420" w:firstLineChars="200"/>
        <w:rPr>
          <w:rFonts w:ascii="Times New Roman" w:hAnsi="宋体" w:eastAsia="宋体" w:cs="Times New Roman"/>
          <w:kern w:val="2"/>
          <w:sz w:val="21"/>
          <w:szCs w:val="21"/>
        </w:rPr>
      </w:pPr>
      <w:r>
        <w:rPr>
          <w:rFonts w:hint="eastAsia" w:ascii="Times New Roman" w:hAnsi="宋体" w:eastAsia="宋体" w:cs="Times New Roman"/>
          <w:kern w:val="2"/>
          <w:sz w:val="21"/>
          <w:szCs w:val="21"/>
        </w:rPr>
        <w:t>以上所有设备总体要求需符合郑州市供电公司的验收标准且备案，并保证通过郑州市电业局验收。</w:t>
      </w:r>
    </w:p>
    <w:p>
      <w:pPr>
        <w:spacing w:line="360" w:lineRule="auto"/>
        <w:ind w:firstLine="424" w:firstLineChars="202"/>
        <w:rPr>
          <w:rFonts w:ascii="宋体" w:hAnsi="宋体"/>
          <w:szCs w:val="21"/>
        </w:rPr>
      </w:pPr>
    </w:p>
    <w:p>
      <w:pPr>
        <w:pStyle w:val="5"/>
      </w:pPr>
    </w:p>
    <w:p>
      <w:pPr>
        <w:pStyle w:val="5"/>
      </w:pPr>
    </w:p>
    <w:p>
      <w:pPr>
        <w:pStyle w:val="5"/>
      </w:pPr>
    </w:p>
    <w:p>
      <w:pPr>
        <w:pStyle w:val="5"/>
      </w:pPr>
    </w:p>
    <w:p>
      <w:pPr>
        <w:pStyle w:val="5"/>
      </w:pPr>
    </w:p>
    <w:p>
      <w:pPr>
        <w:pStyle w:val="5"/>
      </w:pPr>
    </w:p>
    <w:p>
      <w:pPr>
        <w:pStyle w:val="5"/>
      </w:pPr>
    </w:p>
    <w:p>
      <w:pPr>
        <w:pStyle w:val="5"/>
      </w:pPr>
    </w:p>
    <w:p>
      <w:pPr>
        <w:pStyle w:val="5"/>
      </w:pPr>
    </w:p>
    <w:p>
      <w:pPr>
        <w:pStyle w:val="5"/>
      </w:pPr>
    </w:p>
    <w:p>
      <w:pPr>
        <w:pStyle w:val="5"/>
      </w:pPr>
    </w:p>
    <w:p>
      <w:pPr>
        <w:pStyle w:val="5"/>
      </w:pPr>
    </w:p>
    <w:p>
      <w:pPr>
        <w:pStyle w:val="5"/>
      </w:pPr>
    </w:p>
    <w:p>
      <w:pPr>
        <w:pStyle w:val="5"/>
      </w:pPr>
    </w:p>
    <w:p>
      <w:pPr>
        <w:pStyle w:val="5"/>
      </w:pPr>
    </w:p>
    <w:p>
      <w:pPr>
        <w:pStyle w:val="5"/>
      </w:pPr>
    </w:p>
    <w:p>
      <w:pPr>
        <w:pStyle w:val="5"/>
      </w:pPr>
    </w:p>
    <w:p>
      <w:pPr>
        <w:pStyle w:val="5"/>
      </w:pPr>
    </w:p>
    <w:p>
      <w:pPr>
        <w:pStyle w:val="5"/>
      </w:pPr>
    </w:p>
    <w:p>
      <w:pPr>
        <w:pStyle w:val="5"/>
      </w:pPr>
    </w:p>
    <w:p>
      <w:pPr>
        <w:pStyle w:val="5"/>
      </w:pPr>
    </w:p>
    <w:p>
      <w:pPr>
        <w:pStyle w:val="5"/>
      </w:pPr>
    </w:p>
    <w:p>
      <w:pPr>
        <w:pStyle w:val="5"/>
      </w:pPr>
    </w:p>
    <w:p>
      <w:pPr>
        <w:pStyle w:val="5"/>
      </w:pPr>
    </w:p>
    <w:p>
      <w:pPr>
        <w:pStyle w:val="5"/>
      </w:pPr>
    </w:p>
    <w:p>
      <w:pPr>
        <w:pStyle w:val="5"/>
      </w:pPr>
    </w:p>
    <w:p>
      <w:pPr>
        <w:pStyle w:val="5"/>
      </w:pPr>
    </w:p>
    <w:p>
      <w:pPr>
        <w:pStyle w:val="5"/>
      </w:pPr>
    </w:p>
    <w:p>
      <w:pPr>
        <w:pStyle w:val="5"/>
      </w:pPr>
    </w:p>
    <w:p>
      <w:pPr>
        <w:pStyle w:val="3"/>
        <w:spacing w:before="0" w:after="0"/>
        <w:jc w:val="center"/>
        <w:rPr>
          <w:rFonts w:asciiTheme="minorEastAsia" w:hAnsiTheme="minorEastAsia"/>
          <w:sz w:val="32"/>
        </w:rPr>
      </w:pPr>
      <w:bookmarkStart w:id="46" w:name="_Toc43371492"/>
      <w:r>
        <w:rPr>
          <w:rFonts w:hint="eastAsia" w:asciiTheme="minorEastAsia" w:hAnsiTheme="minorEastAsia"/>
          <w:sz w:val="32"/>
        </w:rPr>
        <w:t>第六章 响应文件格式</w:t>
      </w:r>
      <w:bookmarkEnd w:id="46"/>
    </w:p>
    <w:p>
      <w:pPr>
        <w:jc w:val="left"/>
        <w:rPr>
          <w:rFonts w:asciiTheme="minorEastAsia" w:hAnsiTheme="minorEastAsia"/>
          <w:b/>
          <w:sz w:val="28"/>
        </w:rPr>
      </w:pPr>
      <w:r>
        <w:rPr>
          <w:rFonts w:hint="eastAsia" w:asciiTheme="minorEastAsia" w:hAnsiTheme="minorEastAsia"/>
          <w:b/>
          <w:sz w:val="28"/>
        </w:rPr>
        <w:t xml:space="preserve">封面格式                     </w:t>
      </w:r>
    </w:p>
    <w:p>
      <w:pPr>
        <w:jc w:val="left"/>
        <w:rPr>
          <w:rFonts w:asciiTheme="minorEastAsia" w:hAnsiTheme="minorEastAsia"/>
          <w:b/>
          <w:sz w:val="28"/>
        </w:rPr>
      </w:pPr>
    </w:p>
    <w:p>
      <w:pPr>
        <w:jc w:val="left"/>
        <w:rPr>
          <w:rFonts w:asciiTheme="minorEastAsia" w:hAnsiTheme="minorEastAsia"/>
          <w:b/>
          <w:sz w:val="28"/>
        </w:rPr>
      </w:pPr>
    </w:p>
    <w:p>
      <w:pPr>
        <w:jc w:val="center"/>
        <w:rPr>
          <w:rFonts w:asciiTheme="minorEastAsia" w:hAnsiTheme="minorEastAsia"/>
          <w:b/>
          <w:sz w:val="28"/>
        </w:rPr>
      </w:pPr>
      <w:r>
        <w:rPr>
          <w:rFonts w:hint="eastAsia" w:asciiTheme="minorEastAsia" w:hAnsiTheme="minorEastAsia"/>
          <w:b/>
          <w:sz w:val="28"/>
        </w:rPr>
        <w:t>（项目名称）</w:t>
      </w:r>
    </w:p>
    <w:p>
      <w:pPr>
        <w:jc w:val="left"/>
        <w:rPr>
          <w:rFonts w:asciiTheme="minorEastAsia" w:hAnsiTheme="minorEastAsia"/>
          <w:b/>
          <w:sz w:val="28"/>
        </w:rPr>
      </w:pPr>
    </w:p>
    <w:p>
      <w:pPr>
        <w:jc w:val="left"/>
        <w:rPr>
          <w:rFonts w:asciiTheme="minorEastAsia" w:hAnsiTheme="minorEastAsia"/>
          <w:b/>
          <w:sz w:val="28"/>
        </w:rPr>
      </w:pPr>
    </w:p>
    <w:p>
      <w:pPr>
        <w:jc w:val="left"/>
        <w:rPr>
          <w:rFonts w:asciiTheme="minorEastAsia" w:hAnsiTheme="minorEastAsia"/>
          <w:b/>
          <w:sz w:val="28"/>
        </w:rPr>
      </w:pPr>
    </w:p>
    <w:p>
      <w:pPr>
        <w:jc w:val="left"/>
        <w:rPr>
          <w:rFonts w:asciiTheme="minorEastAsia" w:hAnsiTheme="minorEastAsia"/>
          <w:b/>
          <w:sz w:val="28"/>
        </w:rPr>
      </w:pPr>
    </w:p>
    <w:p>
      <w:pPr>
        <w:jc w:val="left"/>
        <w:rPr>
          <w:rFonts w:asciiTheme="minorEastAsia" w:hAnsiTheme="minorEastAsia"/>
          <w:b/>
          <w:sz w:val="28"/>
        </w:rPr>
      </w:pPr>
    </w:p>
    <w:p>
      <w:pPr>
        <w:jc w:val="center"/>
        <w:rPr>
          <w:rFonts w:asciiTheme="minorEastAsia" w:hAnsiTheme="minorEastAsia"/>
          <w:b/>
          <w:sz w:val="44"/>
        </w:rPr>
      </w:pPr>
      <w:r>
        <w:rPr>
          <w:rFonts w:hint="eastAsia" w:asciiTheme="minorEastAsia" w:hAnsiTheme="minorEastAsia"/>
          <w:b/>
          <w:sz w:val="44"/>
        </w:rPr>
        <w:t>响 应 文 件</w:t>
      </w:r>
    </w:p>
    <w:p>
      <w:pPr>
        <w:jc w:val="center"/>
        <w:rPr>
          <w:rFonts w:asciiTheme="minorEastAsia" w:hAnsiTheme="minorEastAsia"/>
          <w:b/>
          <w:sz w:val="28"/>
        </w:rPr>
      </w:pPr>
      <w:r>
        <w:rPr>
          <w:rFonts w:hint="eastAsia" w:asciiTheme="minorEastAsia" w:hAnsiTheme="minorEastAsia"/>
          <w:b/>
          <w:sz w:val="28"/>
        </w:rPr>
        <w:t>编号：</w:t>
      </w:r>
    </w:p>
    <w:p>
      <w:pPr>
        <w:jc w:val="left"/>
        <w:rPr>
          <w:rFonts w:asciiTheme="minorEastAsia" w:hAnsiTheme="minorEastAsia"/>
          <w:b/>
          <w:sz w:val="28"/>
        </w:rPr>
      </w:pPr>
    </w:p>
    <w:p>
      <w:pPr>
        <w:jc w:val="left"/>
        <w:rPr>
          <w:rFonts w:asciiTheme="minorEastAsia" w:hAnsiTheme="minorEastAsia"/>
          <w:b/>
          <w:sz w:val="28"/>
        </w:rPr>
      </w:pPr>
    </w:p>
    <w:p>
      <w:pPr>
        <w:jc w:val="left"/>
        <w:rPr>
          <w:rFonts w:asciiTheme="minorEastAsia" w:hAnsiTheme="minorEastAsia"/>
          <w:b/>
          <w:sz w:val="28"/>
        </w:rPr>
      </w:pPr>
    </w:p>
    <w:p>
      <w:pPr>
        <w:jc w:val="left"/>
        <w:rPr>
          <w:rFonts w:asciiTheme="minorEastAsia" w:hAnsiTheme="minorEastAsia"/>
          <w:b/>
          <w:sz w:val="28"/>
        </w:rPr>
      </w:pPr>
    </w:p>
    <w:p>
      <w:pPr>
        <w:jc w:val="left"/>
        <w:rPr>
          <w:rFonts w:asciiTheme="minorEastAsia" w:hAnsiTheme="minorEastAsia"/>
          <w:b/>
          <w:sz w:val="28"/>
        </w:rPr>
      </w:pPr>
    </w:p>
    <w:p>
      <w:pPr>
        <w:jc w:val="left"/>
        <w:rPr>
          <w:rFonts w:asciiTheme="minorEastAsia" w:hAnsiTheme="minorEastAsia"/>
          <w:b/>
          <w:sz w:val="28"/>
        </w:rPr>
      </w:pPr>
    </w:p>
    <w:p>
      <w:pPr>
        <w:jc w:val="center"/>
        <w:rPr>
          <w:rFonts w:asciiTheme="minorEastAsia" w:hAnsiTheme="minorEastAsia"/>
          <w:b/>
          <w:sz w:val="28"/>
        </w:rPr>
      </w:pPr>
      <w:r>
        <w:rPr>
          <w:rFonts w:hint="eastAsia" w:asciiTheme="minorEastAsia" w:hAnsiTheme="minorEastAsia"/>
          <w:b/>
          <w:sz w:val="28"/>
          <w:lang w:eastAsia="zh-CN"/>
        </w:rPr>
        <w:t>响应人</w:t>
      </w:r>
      <w:r>
        <w:rPr>
          <w:rFonts w:hint="eastAsia" w:asciiTheme="minorEastAsia" w:hAnsiTheme="minorEastAsia"/>
          <w:b/>
          <w:sz w:val="28"/>
        </w:rPr>
        <w:t>：（企业电子签章或盖章）</w:t>
      </w:r>
    </w:p>
    <w:p>
      <w:pPr>
        <w:jc w:val="center"/>
        <w:rPr>
          <w:rFonts w:asciiTheme="minorEastAsia" w:hAnsiTheme="minorEastAsia"/>
          <w:b/>
          <w:sz w:val="28"/>
        </w:rPr>
      </w:pPr>
      <w:r>
        <w:rPr>
          <w:rFonts w:hint="eastAsia" w:asciiTheme="minorEastAsia" w:hAnsiTheme="minorEastAsia"/>
          <w:b/>
          <w:sz w:val="28"/>
        </w:rPr>
        <w:t>法定代表人或其委托代理人：（个人电子签章或盖章或签字）</w:t>
      </w:r>
    </w:p>
    <w:p>
      <w:pPr>
        <w:jc w:val="center"/>
        <w:rPr>
          <w:rFonts w:asciiTheme="minorEastAsia" w:hAnsiTheme="minorEastAsia"/>
          <w:b/>
          <w:sz w:val="28"/>
        </w:rPr>
      </w:pPr>
      <w:r>
        <w:rPr>
          <w:rFonts w:hint="eastAsia" w:asciiTheme="minorEastAsia" w:hAnsiTheme="minorEastAsia"/>
          <w:b/>
          <w:sz w:val="28"/>
        </w:rPr>
        <w:t>年         月</w:t>
      </w:r>
    </w:p>
    <w:p>
      <w:pPr>
        <w:spacing w:line="400" w:lineRule="exact"/>
        <w:rPr>
          <w:rFonts w:ascii="宋体" w:hAnsi="宋体" w:cs="宋体"/>
        </w:rPr>
      </w:pPr>
    </w:p>
    <w:p>
      <w:pPr>
        <w:pStyle w:val="136"/>
        <w:spacing w:before="0"/>
        <w:jc w:val="center"/>
        <w:rPr>
          <w:rFonts w:ascii="宋体" w:hAnsi="宋体" w:eastAsia="宋体"/>
          <w:szCs w:val="28"/>
        </w:rPr>
      </w:pPr>
      <w:bookmarkStart w:id="47" w:name="_Toc152045787"/>
      <w:bookmarkStart w:id="48" w:name="_Toc144974856"/>
      <w:bookmarkStart w:id="49" w:name="_Toc43371493"/>
      <w:bookmarkStart w:id="50" w:name="_Toc152042576"/>
      <w:bookmarkStart w:id="51" w:name="_Toc516148135"/>
      <w:bookmarkStart w:id="52" w:name="_Toc466298157"/>
      <w:r>
        <w:rPr>
          <w:rFonts w:hint="eastAsia" w:ascii="宋体" w:hAnsi="宋体" w:eastAsia="宋体"/>
          <w:szCs w:val="28"/>
        </w:rPr>
        <w:t>目    录</w:t>
      </w:r>
      <w:bookmarkEnd w:id="47"/>
      <w:bookmarkEnd w:id="48"/>
      <w:bookmarkEnd w:id="49"/>
      <w:bookmarkEnd w:id="50"/>
      <w:bookmarkEnd w:id="51"/>
      <w:bookmarkEnd w:id="52"/>
    </w:p>
    <w:p>
      <w:pPr>
        <w:spacing w:line="540" w:lineRule="exact"/>
        <w:rPr>
          <w:rFonts w:ascii="宋体" w:hAnsi="宋体" w:cs="宋体"/>
        </w:rPr>
      </w:pPr>
      <w:r>
        <w:rPr>
          <w:rFonts w:hint="eastAsia" w:ascii="宋体" w:hAnsi="宋体" w:cs="宋体"/>
        </w:rPr>
        <w:t>一、磋商函及磋商函附录</w:t>
      </w:r>
    </w:p>
    <w:p>
      <w:pPr>
        <w:spacing w:line="540" w:lineRule="exact"/>
        <w:rPr>
          <w:rFonts w:ascii="宋体" w:hAnsi="宋体" w:cs="宋体"/>
        </w:rPr>
      </w:pPr>
      <w:r>
        <w:rPr>
          <w:rFonts w:hint="eastAsia" w:ascii="宋体" w:hAnsi="宋体" w:cs="宋体"/>
        </w:rPr>
        <w:t>二、法定代表身份证明</w:t>
      </w:r>
    </w:p>
    <w:p>
      <w:pPr>
        <w:spacing w:line="540" w:lineRule="exact"/>
        <w:rPr>
          <w:rFonts w:ascii="宋体" w:hAnsi="宋体" w:cs="宋体"/>
        </w:rPr>
      </w:pPr>
      <w:r>
        <w:rPr>
          <w:rFonts w:hint="eastAsia" w:ascii="宋体" w:hAnsi="宋体" w:cs="宋体"/>
        </w:rPr>
        <w:t>三、授权委托书</w:t>
      </w:r>
    </w:p>
    <w:p>
      <w:pPr>
        <w:spacing w:line="540" w:lineRule="exact"/>
        <w:rPr>
          <w:rFonts w:ascii="宋体" w:hAnsi="宋体" w:cs="宋体"/>
        </w:rPr>
      </w:pPr>
      <w:r>
        <w:rPr>
          <w:rFonts w:hint="eastAsia" w:ascii="宋体" w:hAnsi="宋体" w:cs="宋体"/>
        </w:rPr>
        <w:t>四、磋商承诺函</w:t>
      </w:r>
    </w:p>
    <w:p>
      <w:pPr>
        <w:spacing w:line="540" w:lineRule="exact"/>
        <w:rPr>
          <w:rFonts w:ascii="宋体" w:hAnsi="宋体" w:cs="宋体"/>
        </w:rPr>
      </w:pPr>
      <w:r>
        <w:rPr>
          <w:rFonts w:hint="eastAsia" w:ascii="宋体" w:hAnsi="宋体" w:cs="宋体"/>
        </w:rPr>
        <w:t>五、已标价工程量清单</w:t>
      </w:r>
    </w:p>
    <w:p>
      <w:pPr>
        <w:spacing w:line="540" w:lineRule="exact"/>
        <w:rPr>
          <w:rFonts w:ascii="宋体" w:hAnsi="宋体" w:cs="宋体"/>
        </w:rPr>
      </w:pPr>
      <w:r>
        <w:rPr>
          <w:rFonts w:hint="eastAsia" w:ascii="宋体" w:hAnsi="宋体" w:cs="宋体"/>
        </w:rPr>
        <w:t>六、施工组织设计</w:t>
      </w:r>
    </w:p>
    <w:p>
      <w:pPr>
        <w:spacing w:line="540" w:lineRule="exact"/>
        <w:rPr>
          <w:rFonts w:ascii="宋体" w:hAnsi="宋体" w:cs="宋体"/>
        </w:rPr>
      </w:pPr>
      <w:r>
        <w:rPr>
          <w:rFonts w:hint="eastAsia" w:ascii="宋体" w:hAnsi="宋体" w:cs="宋体"/>
        </w:rPr>
        <w:t>七、项目管理机构</w:t>
      </w:r>
    </w:p>
    <w:p>
      <w:pPr>
        <w:spacing w:line="540" w:lineRule="exact"/>
        <w:rPr>
          <w:rFonts w:ascii="宋体" w:hAnsi="宋体" w:cs="宋体"/>
        </w:rPr>
      </w:pPr>
      <w:r>
        <w:rPr>
          <w:rFonts w:hint="eastAsia" w:ascii="宋体" w:hAnsi="宋体" w:cs="宋体"/>
        </w:rPr>
        <w:t>八、资格审查资料</w:t>
      </w:r>
    </w:p>
    <w:p>
      <w:pPr>
        <w:spacing w:line="540" w:lineRule="exact"/>
        <w:rPr>
          <w:rFonts w:ascii="宋体" w:hAnsi="宋体" w:cs="宋体"/>
        </w:rPr>
      </w:pPr>
      <w:r>
        <w:rPr>
          <w:rFonts w:hint="eastAsia" w:ascii="宋体" w:hAnsi="宋体" w:cs="宋体"/>
        </w:rPr>
        <w:t>九、售后服务方案及承诺</w:t>
      </w:r>
    </w:p>
    <w:p>
      <w:pPr>
        <w:spacing w:line="540" w:lineRule="exact"/>
        <w:rPr>
          <w:rFonts w:ascii="宋体" w:hAnsi="宋体" w:cs="宋体"/>
        </w:rPr>
      </w:pPr>
      <w:r>
        <w:rPr>
          <w:rFonts w:hint="eastAsia" w:ascii="宋体" w:hAnsi="宋体" w:cs="宋体"/>
        </w:rPr>
        <w:t>十、中小企业声明函</w:t>
      </w:r>
    </w:p>
    <w:p>
      <w:pPr>
        <w:spacing w:line="540" w:lineRule="exact"/>
        <w:rPr>
          <w:rFonts w:ascii="宋体" w:hAnsi="宋体" w:cs="宋体"/>
        </w:rPr>
      </w:pPr>
      <w:r>
        <w:rPr>
          <w:rFonts w:hint="eastAsia" w:ascii="宋体" w:hAnsi="宋体" w:cs="宋体"/>
        </w:rPr>
        <w:t>十一、反商业贿赂承诺书</w:t>
      </w:r>
    </w:p>
    <w:p>
      <w:pPr>
        <w:spacing w:line="540" w:lineRule="exact"/>
        <w:rPr>
          <w:rFonts w:ascii="宋体" w:hAnsi="宋体" w:cs="宋体"/>
        </w:rPr>
      </w:pPr>
      <w:r>
        <w:rPr>
          <w:rFonts w:hint="eastAsia" w:ascii="宋体" w:hAnsi="宋体" w:cs="宋体"/>
        </w:rPr>
        <w:t>十二、</w:t>
      </w:r>
      <w:r>
        <w:rPr>
          <w:rFonts w:hint="eastAsia" w:ascii="宋体" w:hAnsi="宋体" w:cs="宋体"/>
          <w:lang w:eastAsia="zh-CN"/>
        </w:rPr>
        <w:t>响应人</w:t>
      </w:r>
      <w:r>
        <w:rPr>
          <w:rFonts w:hint="eastAsia" w:ascii="宋体" w:hAnsi="宋体" w:cs="宋体"/>
        </w:rPr>
        <w:t>认为有必要提供的其他资料</w:t>
      </w:r>
    </w:p>
    <w:p>
      <w:pPr>
        <w:jc w:val="center"/>
        <w:rPr>
          <w:rFonts w:asciiTheme="minorEastAsia" w:hAnsiTheme="minorEastAsia"/>
          <w:b/>
          <w:sz w:val="28"/>
        </w:rPr>
      </w:pPr>
    </w:p>
    <w:p>
      <w:pPr>
        <w:jc w:val="center"/>
        <w:rPr>
          <w:rFonts w:asciiTheme="minorEastAsia" w:hAnsiTheme="minorEastAsia"/>
          <w:b/>
          <w:sz w:val="28"/>
        </w:rPr>
      </w:pPr>
    </w:p>
    <w:p>
      <w:pPr>
        <w:jc w:val="center"/>
        <w:rPr>
          <w:rFonts w:asciiTheme="minorEastAsia" w:hAnsiTheme="minorEastAsia"/>
          <w:b/>
          <w:sz w:val="28"/>
        </w:rPr>
      </w:pPr>
    </w:p>
    <w:p>
      <w:pPr>
        <w:jc w:val="center"/>
        <w:rPr>
          <w:rFonts w:asciiTheme="minorEastAsia" w:hAnsiTheme="minorEastAsia"/>
          <w:b/>
          <w:sz w:val="28"/>
        </w:rPr>
      </w:pPr>
    </w:p>
    <w:p>
      <w:pPr>
        <w:jc w:val="center"/>
        <w:rPr>
          <w:rFonts w:asciiTheme="minorEastAsia" w:hAnsiTheme="minorEastAsia"/>
          <w:b/>
          <w:sz w:val="28"/>
        </w:rPr>
      </w:pPr>
    </w:p>
    <w:p>
      <w:pPr>
        <w:jc w:val="center"/>
        <w:rPr>
          <w:rFonts w:asciiTheme="minorEastAsia" w:hAnsiTheme="minorEastAsia"/>
          <w:b/>
          <w:sz w:val="28"/>
        </w:rPr>
      </w:pPr>
    </w:p>
    <w:p>
      <w:pPr>
        <w:jc w:val="center"/>
        <w:rPr>
          <w:rFonts w:asciiTheme="minorEastAsia" w:hAnsiTheme="minorEastAsia"/>
          <w:b/>
          <w:sz w:val="28"/>
        </w:rPr>
      </w:pPr>
    </w:p>
    <w:p>
      <w:pPr>
        <w:jc w:val="center"/>
        <w:rPr>
          <w:rFonts w:asciiTheme="minorEastAsia" w:hAnsiTheme="minorEastAsia"/>
          <w:b/>
          <w:sz w:val="28"/>
        </w:rPr>
      </w:pPr>
    </w:p>
    <w:p>
      <w:pPr>
        <w:jc w:val="center"/>
        <w:rPr>
          <w:rFonts w:asciiTheme="minorEastAsia" w:hAnsiTheme="minorEastAsia"/>
          <w:b/>
          <w:sz w:val="28"/>
        </w:rPr>
      </w:pPr>
    </w:p>
    <w:p>
      <w:pPr>
        <w:pStyle w:val="4"/>
        <w:spacing w:before="0" w:after="0"/>
        <w:rPr>
          <w:sz w:val="28"/>
        </w:rPr>
      </w:pPr>
      <w:bookmarkStart w:id="53" w:name="_Toc43371494"/>
      <w:r>
        <w:rPr>
          <w:rFonts w:hint="eastAsia"/>
          <w:sz w:val="28"/>
        </w:rPr>
        <w:t>一、磋商函及磋商函附录</w:t>
      </w:r>
      <w:bookmarkEnd w:id="53"/>
    </w:p>
    <w:p>
      <w:pPr>
        <w:pStyle w:val="6"/>
        <w:spacing w:before="0" w:after="0"/>
        <w:jc w:val="center"/>
        <w:rPr>
          <w:sz w:val="28"/>
        </w:rPr>
      </w:pPr>
      <w:bookmarkStart w:id="54" w:name="_Toc296602603"/>
      <w:bookmarkStart w:id="55" w:name="_Toc152042578"/>
      <w:bookmarkStart w:id="56" w:name="_Toc246996357"/>
      <w:bookmarkStart w:id="57" w:name="_Toc179632809"/>
      <w:bookmarkStart w:id="58" w:name="_Toc43371495"/>
      <w:bookmarkStart w:id="59" w:name="_Toc144974858"/>
      <w:bookmarkStart w:id="60" w:name="_Toc247085875"/>
      <w:bookmarkStart w:id="61" w:name="_Toc246997100"/>
      <w:bookmarkStart w:id="62" w:name="_Toc152045789"/>
      <w:r>
        <w:rPr>
          <w:sz w:val="28"/>
        </w:rPr>
        <w:t>（一）</w:t>
      </w:r>
      <w:r>
        <w:rPr>
          <w:rFonts w:hint="eastAsia"/>
          <w:sz w:val="28"/>
        </w:rPr>
        <w:t>磋商</w:t>
      </w:r>
      <w:r>
        <w:rPr>
          <w:sz w:val="28"/>
        </w:rPr>
        <w:t>函</w:t>
      </w:r>
      <w:bookmarkEnd w:id="54"/>
      <w:bookmarkEnd w:id="55"/>
      <w:bookmarkEnd w:id="56"/>
      <w:bookmarkEnd w:id="57"/>
      <w:bookmarkEnd w:id="58"/>
      <w:bookmarkEnd w:id="59"/>
      <w:bookmarkEnd w:id="60"/>
      <w:bookmarkEnd w:id="61"/>
      <w:bookmarkEnd w:id="62"/>
    </w:p>
    <w:p>
      <w:pPr>
        <w:spacing w:line="440" w:lineRule="exact"/>
        <w:rPr>
          <w:szCs w:val="21"/>
        </w:rPr>
      </w:pPr>
      <w:r>
        <w:rPr>
          <w:szCs w:val="21"/>
        </w:rPr>
        <w:t>（</w:t>
      </w:r>
      <w:r>
        <w:rPr>
          <w:rFonts w:hint="eastAsia"/>
          <w:szCs w:val="21"/>
        </w:rPr>
        <w:t>采购</w:t>
      </w:r>
      <w:r>
        <w:rPr>
          <w:szCs w:val="21"/>
        </w:rPr>
        <w:t>人名称）：</w:t>
      </w:r>
    </w:p>
    <w:p>
      <w:pPr>
        <w:spacing w:line="440" w:lineRule="exact"/>
        <w:rPr>
          <w:szCs w:val="21"/>
        </w:rPr>
      </w:pPr>
    </w:p>
    <w:p>
      <w:pPr>
        <w:spacing w:line="440" w:lineRule="exact"/>
        <w:ind w:left="-619" w:leftChars="-295" w:right="-512" w:rightChars="-244"/>
        <w:rPr>
          <w:szCs w:val="21"/>
        </w:rPr>
      </w:pPr>
      <w:r>
        <w:rPr>
          <w:szCs w:val="21"/>
        </w:rPr>
        <w:t>1．我方已仔细研究了（项目名称）</w:t>
      </w:r>
      <w:r>
        <w:rPr>
          <w:rFonts w:hint="eastAsia"/>
          <w:szCs w:val="21"/>
        </w:rPr>
        <w:t>竞争性磋商</w:t>
      </w:r>
      <w:r>
        <w:rPr>
          <w:szCs w:val="21"/>
        </w:rPr>
        <w:t>文件的全部内容，愿意以人民币（大写）</w:t>
      </w:r>
      <w:r>
        <w:rPr>
          <w:rFonts w:hint="eastAsia"/>
          <w:szCs w:val="21"/>
          <w:u w:val="single"/>
        </w:rPr>
        <w:t xml:space="preserve">   </w:t>
      </w:r>
      <w:r>
        <w:rPr>
          <w:szCs w:val="21"/>
        </w:rPr>
        <w:t>（¥）</w:t>
      </w:r>
      <w:r>
        <w:rPr>
          <w:rFonts w:hint="eastAsia"/>
          <w:szCs w:val="21"/>
          <w:u w:val="single"/>
        </w:rPr>
        <w:t xml:space="preserve">  </w:t>
      </w:r>
      <w:r>
        <w:rPr>
          <w:szCs w:val="21"/>
        </w:rPr>
        <w:t>的</w:t>
      </w:r>
      <w:r>
        <w:rPr>
          <w:rFonts w:hint="eastAsia"/>
          <w:szCs w:val="21"/>
        </w:rPr>
        <w:t>磋商</w:t>
      </w:r>
      <w:r>
        <w:rPr>
          <w:szCs w:val="21"/>
        </w:rPr>
        <w:t>总报价，</w:t>
      </w:r>
      <w:r>
        <w:rPr>
          <w:rFonts w:hint="eastAsia"/>
          <w:szCs w:val="21"/>
        </w:rPr>
        <w:t>工期</w:t>
      </w:r>
      <w:r>
        <w:rPr>
          <w:rFonts w:hint="eastAsia"/>
          <w:szCs w:val="21"/>
          <w:u w:val="single"/>
        </w:rPr>
        <w:t xml:space="preserve">    </w:t>
      </w:r>
      <w:r>
        <w:rPr>
          <w:rFonts w:hint="eastAsia"/>
          <w:szCs w:val="21"/>
        </w:rPr>
        <w:t>日历天，</w:t>
      </w:r>
      <w:r>
        <w:rPr>
          <w:szCs w:val="21"/>
        </w:rPr>
        <w:t>按合同约定实施和完成承包工程，修补工程中的任何缺陷，工程质量达到</w:t>
      </w:r>
      <w:r>
        <w:rPr>
          <w:rFonts w:hint="eastAsia"/>
          <w:szCs w:val="21"/>
          <w:u w:val="single"/>
        </w:rPr>
        <w:t xml:space="preserve">      </w:t>
      </w:r>
      <w:r>
        <w:rPr>
          <w:szCs w:val="21"/>
        </w:rPr>
        <w:t>。</w:t>
      </w:r>
    </w:p>
    <w:p>
      <w:pPr>
        <w:spacing w:line="440" w:lineRule="exact"/>
        <w:ind w:left="-619" w:leftChars="-295" w:right="-512" w:rightChars="-244"/>
        <w:rPr>
          <w:szCs w:val="21"/>
        </w:rPr>
      </w:pPr>
      <w:r>
        <w:rPr>
          <w:szCs w:val="21"/>
        </w:rPr>
        <w:t>2．我方承诺在</w:t>
      </w:r>
      <w:r>
        <w:rPr>
          <w:rFonts w:hint="eastAsia"/>
          <w:szCs w:val="21"/>
        </w:rPr>
        <w:t>竞争性磋商文件规定的磋商</w:t>
      </w:r>
      <w:r>
        <w:rPr>
          <w:szCs w:val="21"/>
        </w:rPr>
        <w:t>有效期内不修改、撤销</w:t>
      </w:r>
      <w:r>
        <w:rPr>
          <w:rFonts w:hint="eastAsia"/>
          <w:szCs w:val="21"/>
        </w:rPr>
        <w:t>响应</w:t>
      </w:r>
      <w:r>
        <w:rPr>
          <w:szCs w:val="21"/>
        </w:rPr>
        <w:t>文件。</w:t>
      </w:r>
    </w:p>
    <w:p>
      <w:pPr>
        <w:spacing w:line="440" w:lineRule="exact"/>
        <w:ind w:left="-619" w:leftChars="-295" w:right="-512" w:rightChars="-244"/>
        <w:rPr>
          <w:szCs w:val="21"/>
        </w:rPr>
      </w:pPr>
      <w:r>
        <w:rPr>
          <w:szCs w:val="21"/>
        </w:rPr>
        <w:t>3．随同本</w:t>
      </w:r>
      <w:r>
        <w:rPr>
          <w:rFonts w:hint="eastAsia"/>
          <w:szCs w:val="21"/>
        </w:rPr>
        <w:t>磋商</w:t>
      </w:r>
      <w:r>
        <w:rPr>
          <w:szCs w:val="21"/>
        </w:rPr>
        <w:t>函提交</w:t>
      </w:r>
      <w:r>
        <w:rPr>
          <w:rFonts w:hint="eastAsia"/>
          <w:szCs w:val="21"/>
        </w:rPr>
        <w:t>磋商承诺函一份及采购代理费承诺函一份。</w:t>
      </w:r>
    </w:p>
    <w:p>
      <w:pPr>
        <w:spacing w:line="440" w:lineRule="exact"/>
        <w:ind w:left="-619" w:leftChars="-295" w:right="-512" w:rightChars="-244"/>
        <w:rPr>
          <w:szCs w:val="21"/>
        </w:rPr>
      </w:pPr>
      <w:r>
        <w:rPr>
          <w:szCs w:val="21"/>
        </w:rPr>
        <w:t>4．如我方成交：</w:t>
      </w:r>
    </w:p>
    <w:p>
      <w:pPr>
        <w:spacing w:line="440" w:lineRule="exact"/>
        <w:ind w:left="-619" w:leftChars="-295" w:right="-512" w:rightChars="-244"/>
        <w:rPr>
          <w:szCs w:val="21"/>
        </w:rPr>
      </w:pPr>
      <w:r>
        <w:rPr>
          <w:szCs w:val="21"/>
        </w:rPr>
        <w:t>（1）我方承诺在收到</w:t>
      </w:r>
      <w:r>
        <w:rPr>
          <w:rFonts w:hint="eastAsia"/>
          <w:szCs w:val="21"/>
        </w:rPr>
        <w:t>成交</w:t>
      </w:r>
      <w:r>
        <w:rPr>
          <w:szCs w:val="21"/>
        </w:rPr>
        <w:t>通知书后，在</w:t>
      </w:r>
      <w:r>
        <w:rPr>
          <w:rFonts w:hint="eastAsia"/>
          <w:szCs w:val="21"/>
        </w:rPr>
        <w:t>成交</w:t>
      </w:r>
      <w:r>
        <w:rPr>
          <w:szCs w:val="21"/>
        </w:rPr>
        <w:t>通知书规定的期限内与你方签订合同。</w:t>
      </w:r>
    </w:p>
    <w:p>
      <w:pPr>
        <w:spacing w:line="440" w:lineRule="exact"/>
        <w:ind w:left="-619" w:leftChars="-295" w:right="-512" w:rightChars="-244"/>
        <w:rPr>
          <w:szCs w:val="21"/>
        </w:rPr>
      </w:pPr>
      <w:r>
        <w:rPr>
          <w:szCs w:val="21"/>
        </w:rPr>
        <w:t>（2）随同本</w:t>
      </w:r>
      <w:r>
        <w:rPr>
          <w:rFonts w:hint="eastAsia"/>
          <w:szCs w:val="21"/>
        </w:rPr>
        <w:t>磋商</w:t>
      </w:r>
      <w:r>
        <w:rPr>
          <w:szCs w:val="21"/>
        </w:rPr>
        <w:t>函提交的磋商函附录属于合同文件的组成部分。</w:t>
      </w:r>
    </w:p>
    <w:p>
      <w:pPr>
        <w:spacing w:line="440" w:lineRule="exact"/>
        <w:ind w:left="-619" w:leftChars="-295" w:right="-512" w:rightChars="-244"/>
        <w:rPr>
          <w:szCs w:val="21"/>
        </w:rPr>
      </w:pPr>
      <w:r>
        <w:rPr>
          <w:szCs w:val="21"/>
        </w:rPr>
        <w:t>（3）我方承诺按照竞争性磋商文件规定向你方提交履约担保。</w:t>
      </w:r>
    </w:p>
    <w:p>
      <w:pPr>
        <w:spacing w:line="440" w:lineRule="exact"/>
        <w:ind w:left="-619" w:leftChars="-295" w:right="-512" w:rightChars="-244"/>
        <w:rPr>
          <w:szCs w:val="21"/>
        </w:rPr>
      </w:pPr>
      <w:r>
        <w:rPr>
          <w:szCs w:val="21"/>
        </w:rPr>
        <w:t>（</w:t>
      </w:r>
      <w:r>
        <w:rPr>
          <w:rFonts w:hint="eastAsia"/>
          <w:szCs w:val="21"/>
        </w:rPr>
        <w:t>4</w:t>
      </w:r>
      <w:r>
        <w:rPr>
          <w:szCs w:val="21"/>
        </w:rPr>
        <w:t>）我方承诺在合同约定的期限内完成并移交全部合同工程。</w:t>
      </w:r>
    </w:p>
    <w:p>
      <w:pPr>
        <w:spacing w:line="440" w:lineRule="exact"/>
        <w:ind w:left="-619" w:leftChars="-295" w:right="-512" w:rightChars="-244"/>
        <w:rPr>
          <w:szCs w:val="21"/>
        </w:rPr>
      </w:pPr>
      <w:r>
        <w:rPr>
          <w:szCs w:val="21"/>
        </w:rPr>
        <w:t>5．</w:t>
      </w:r>
      <w:r>
        <w:rPr>
          <w:rFonts w:hint="eastAsia"/>
        </w:rPr>
        <w:t>我方在此声明，所提交的响应文件及有关资料内容完整、真实和准确，且不存在第二章“</w:t>
      </w:r>
      <w:r>
        <w:rPr>
          <w:rFonts w:hint="eastAsia"/>
          <w:lang w:eastAsia="zh-CN"/>
        </w:rPr>
        <w:t>响应人</w:t>
      </w:r>
      <w:r>
        <w:rPr>
          <w:rFonts w:hint="eastAsia"/>
        </w:rPr>
        <w:t>须知”第1.4.3项规定的任何一种情形。</w:t>
      </w:r>
    </w:p>
    <w:p>
      <w:pPr>
        <w:spacing w:line="440" w:lineRule="exact"/>
        <w:ind w:left="-619" w:leftChars="-295" w:right="-512" w:rightChars="-244"/>
        <w:rPr>
          <w:szCs w:val="21"/>
        </w:rPr>
      </w:pPr>
      <w:r>
        <w:rPr>
          <w:rFonts w:hint="eastAsia"/>
          <w:szCs w:val="21"/>
        </w:rPr>
        <w:t>6．</w:t>
      </w:r>
      <w:r>
        <w:rPr>
          <w:szCs w:val="21"/>
        </w:rPr>
        <w:t>（</w:t>
      </w:r>
      <w:r>
        <w:rPr>
          <w:rFonts w:hint="eastAsia"/>
          <w:szCs w:val="21"/>
        </w:rPr>
        <w:t>其他</w:t>
      </w:r>
      <w:r>
        <w:rPr>
          <w:szCs w:val="21"/>
        </w:rPr>
        <w:t>补充说明）。</w:t>
      </w:r>
    </w:p>
    <w:p>
      <w:pPr>
        <w:spacing w:line="440" w:lineRule="exact"/>
        <w:rPr>
          <w:szCs w:val="21"/>
        </w:rPr>
      </w:pPr>
    </w:p>
    <w:p>
      <w:pPr>
        <w:spacing w:line="440" w:lineRule="exact"/>
        <w:ind w:firstLine="3158" w:firstLineChars="1504"/>
        <w:rPr>
          <w:szCs w:val="21"/>
        </w:rPr>
      </w:pPr>
      <w:r>
        <w:rPr>
          <w:rFonts w:hint="eastAsia"/>
          <w:szCs w:val="21"/>
          <w:lang w:eastAsia="zh-CN"/>
        </w:rPr>
        <w:t>响应人</w:t>
      </w:r>
      <w:r>
        <w:rPr>
          <w:szCs w:val="21"/>
        </w:rPr>
        <w:t>：（</w:t>
      </w:r>
      <w:r>
        <w:rPr>
          <w:rFonts w:hint="eastAsia"/>
          <w:szCs w:val="21"/>
        </w:rPr>
        <w:t>企业电子签章或盖章</w:t>
      </w:r>
      <w:r>
        <w:rPr>
          <w:szCs w:val="21"/>
        </w:rPr>
        <w:t>）</w:t>
      </w:r>
    </w:p>
    <w:p>
      <w:pPr>
        <w:spacing w:line="440" w:lineRule="exact"/>
        <w:ind w:right="-932" w:rightChars="-444" w:firstLine="3158" w:firstLineChars="1504"/>
        <w:rPr>
          <w:szCs w:val="21"/>
        </w:rPr>
      </w:pPr>
      <w:r>
        <w:rPr>
          <w:szCs w:val="21"/>
        </w:rPr>
        <w:t>法定代表人或其委托代理人：（</w:t>
      </w:r>
      <w:r>
        <w:rPr>
          <w:rFonts w:hint="eastAsia"/>
          <w:szCs w:val="21"/>
        </w:rPr>
        <w:t>个人电子签章或盖章或签字</w:t>
      </w:r>
      <w:r>
        <w:rPr>
          <w:szCs w:val="21"/>
        </w:rPr>
        <w:t>）</w:t>
      </w:r>
    </w:p>
    <w:p>
      <w:pPr>
        <w:spacing w:line="440" w:lineRule="exact"/>
        <w:ind w:firstLine="3158" w:firstLineChars="1504"/>
        <w:rPr>
          <w:szCs w:val="21"/>
        </w:rPr>
      </w:pPr>
      <w:r>
        <w:rPr>
          <w:szCs w:val="21"/>
        </w:rPr>
        <w:t>地址：</w:t>
      </w:r>
    </w:p>
    <w:p>
      <w:pPr>
        <w:spacing w:line="440" w:lineRule="exact"/>
        <w:ind w:firstLine="3158" w:firstLineChars="1504"/>
        <w:rPr>
          <w:szCs w:val="21"/>
        </w:rPr>
      </w:pPr>
      <w:r>
        <w:rPr>
          <w:szCs w:val="21"/>
        </w:rPr>
        <w:t>网址：</w:t>
      </w:r>
    </w:p>
    <w:p>
      <w:pPr>
        <w:spacing w:line="440" w:lineRule="exact"/>
        <w:ind w:firstLine="3158" w:firstLineChars="1504"/>
        <w:rPr>
          <w:szCs w:val="21"/>
        </w:rPr>
      </w:pPr>
      <w:r>
        <w:rPr>
          <w:szCs w:val="21"/>
        </w:rPr>
        <w:t>电话：</w:t>
      </w:r>
    </w:p>
    <w:p>
      <w:pPr>
        <w:spacing w:line="440" w:lineRule="exact"/>
        <w:ind w:firstLine="3158" w:firstLineChars="1504"/>
        <w:rPr>
          <w:szCs w:val="21"/>
        </w:rPr>
      </w:pPr>
      <w:r>
        <w:rPr>
          <w:szCs w:val="21"/>
        </w:rPr>
        <w:t>传真：</w:t>
      </w:r>
    </w:p>
    <w:p>
      <w:pPr>
        <w:spacing w:line="440" w:lineRule="exact"/>
        <w:ind w:firstLine="3158" w:firstLineChars="1504"/>
        <w:rPr>
          <w:szCs w:val="21"/>
        </w:rPr>
      </w:pPr>
      <w:r>
        <w:rPr>
          <w:szCs w:val="21"/>
        </w:rPr>
        <w:t>邮政编码：</w:t>
      </w:r>
    </w:p>
    <w:p>
      <w:pPr>
        <w:pStyle w:val="5"/>
        <w:ind w:firstLine="3158" w:firstLineChars="1504"/>
        <w:jc w:val="right"/>
        <w:rPr>
          <w:szCs w:val="21"/>
        </w:rPr>
      </w:pPr>
      <w:r>
        <w:rPr>
          <w:szCs w:val="21"/>
        </w:rPr>
        <w:t>年</w:t>
      </w:r>
      <w:r>
        <w:rPr>
          <w:rFonts w:hint="eastAsia"/>
          <w:szCs w:val="21"/>
        </w:rPr>
        <w:t xml:space="preserve"> </w:t>
      </w:r>
      <w:r>
        <w:rPr>
          <w:szCs w:val="21"/>
        </w:rPr>
        <w:t xml:space="preserve"> 月</w:t>
      </w:r>
      <w:r>
        <w:rPr>
          <w:rFonts w:hint="eastAsia"/>
          <w:szCs w:val="21"/>
        </w:rPr>
        <w:t xml:space="preserve"> </w:t>
      </w:r>
      <w:r>
        <w:rPr>
          <w:szCs w:val="21"/>
        </w:rPr>
        <w:t xml:space="preserve"> 日</w:t>
      </w:r>
    </w:p>
    <w:p>
      <w:pPr>
        <w:widowControl/>
        <w:jc w:val="left"/>
        <w:rPr>
          <w:szCs w:val="21"/>
        </w:rPr>
      </w:pPr>
      <w:r>
        <w:rPr>
          <w:szCs w:val="21"/>
        </w:rPr>
        <w:br w:type="page"/>
      </w:r>
    </w:p>
    <w:p>
      <w:pPr>
        <w:pStyle w:val="6"/>
        <w:spacing w:before="0" w:after="0"/>
        <w:jc w:val="center"/>
        <w:rPr>
          <w:sz w:val="24"/>
          <w:szCs w:val="28"/>
        </w:rPr>
      </w:pPr>
      <w:bookmarkStart w:id="63" w:name="_Toc43371496"/>
      <w:bookmarkStart w:id="64" w:name="_Toc516148138"/>
      <w:bookmarkStart w:id="65" w:name="_Toc11154837"/>
      <w:bookmarkStart w:id="66" w:name="_Toc512416072"/>
      <w:bookmarkStart w:id="67" w:name="_Toc490667893"/>
      <w:r>
        <w:rPr>
          <w:rFonts w:hint="eastAsia"/>
          <w:sz w:val="24"/>
          <w:szCs w:val="28"/>
        </w:rPr>
        <w:t>（二）</w:t>
      </w:r>
      <w:r>
        <w:rPr>
          <w:rFonts w:hint="eastAsia"/>
          <w:sz w:val="28"/>
        </w:rPr>
        <w:t>磋商函附录</w:t>
      </w:r>
      <w:bookmarkEnd w:id="63"/>
      <w:bookmarkEnd w:id="64"/>
      <w:bookmarkEnd w:id="65"/>
      <w:bookmarkEnd w:id="66"/>
      <w:bookmarkEnd w:id="67"/>
    </w:p>
    <w:tbl>
      <w:tblPr>
        <w:tblStyle w:val="45"/>
        <w:tblW w:w="91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60"/>
        <w:gridCol w:w="1731"/>
        <w:gridCol w:w="1218"/>
        <w:gridCol w:w="31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306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r>
              <w:rPr>
                <w:rFonts w:hint="eastAsia" w:ascii="宋体" w:hAnsi="宋体"/>
                <w:szCs w:val="21"/>
              </w:rPr>
              <w:t>工程名称</w:t>
            </w:r>
          </w:p>
        </w:tc>
        <w:tc>
          <w:tcPr>
            <w:tcW w:w="6077" w:type="dxa"/>
            <w:gridSpan w:val="3"/>
            <w:tcBorders>
              <w:top w:val="single" w:color="auto" w:sz="4" w:space="0"/>
              <w:left w:val="single" w:color="auto" w:sz="4" w:space="0"/>
              <w:bottom w:val="single" w:color="auto" w:sz="4" w:space="0"/>
              <w:right w:val="single" w:color="auto" w:sz="4" w:space="0"/>
            </w:tcBorders>
            <w:vAlign w:val="center"/>
          </w:tcPr>
          <w:p>
            <w:pP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306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Theme="minorEastAsia"/>
                <w:szCs w:val="21"/>
                <w:lang w:eastAsia="zh-CN"/>
              </w:rPr>
            </w:pPr>
            <w:r>
              <w:rPr>
                <w:rFonts w:hint="eastAsia" w:ascii="宋体" w:hAnsi="宋体"/>
                <w:szCs w:val="21"/>
                <w:lang w:eastAsia="zh-CN"/>
              </w:rPr>
              <w:t>响应人</w:t>
            </w:r>
          </w:p>
        </w:tc>
        <w:tc>
          <w:tcPr>
            <w:tcW w:w="6077" w:type="dxa"/>
            <w:gridSpan w:val="3"/>
            <w:tcBorders>
              <w:top w:val="single" w:color="auto" w:sz="4" w:space="0"/>
              <w:left w:val="single" w:color="auto" w:sz="4" w:space="0"/>
              <w:bottom w:val="single" w:color="auto" w:sz="4" w:space="0"/>
              <w:right w:val="single" w:color="auto" w:sz="4" w:space="0"/>
            </w:tcBorders>
            <w:vAlign w:val="center"/>
          </w:tcPr>
          <w:p>
            <w:pP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306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r>
              <w:rPr>
                <w:rFonts w:hint="eastAsia" w:ascii="宋体" w:hAnsi="宋体"/>
                <w:szCs w:val="21"/>
              </w:rPr>
              <w:t>项目经理</w:t>
            </w:r>
          </w:p>
        </w:tc>
        <w:tc>
          <w:tcPr>
            <w:tcW w:w="1731" w:type="dxa"/>
            <w:tcBorders>
              <w:top w:val="single" w:color="auto" w:sz="4" w:space="0"/>
              <w:left w:val="single" w:color="auto" w:sz="4" w:space="0"/>
              <w:bottom w:val="single" w:color="auto" w:sz="4" w:space="0"/>
              <w:right w:val="single" w:color="auto" w:sz="4" w:space="0"/>
            </w:tcBorders>
            <w:vAlign w:val="center"/>
          </w:tcPr>
          <w:p>
            <w:pPr>
              <w:rPr>
                <w:rFonts w:ascii="宋体" w:hAnsi="宋体"/>
                <w:szCs w:val="21"/>
              </w:rPr>
            </w:pPr>
          </w:p>
        </w:tc>
        <w:tc>
          <w:tcPr>
            <w:tcW w:w="121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r>
              <w:rPr>
                <w:rFonts w:hint="eastAsia" w:ascii="宋体" w:hAnsi="宋体"/>
                <w:szCs w:val="21"/>
              </w:rPr>
              <w:t>执业资</w:t>
            </w:r>
          </w:p>
          <w:p>
            <w:pPr>
              <w:jc w:val="center"/>
              <w:rPr>
                <w:rFonts w:ascii="宋体" w:hAnsi="宋体"/>
                <w:szCs w:val="21"/>
              </w:rPr>
            </w:pPr>
            <w:r>
              <w:rPr>
                <w:rFonts w:hint="eastAsia" w:ascii="宋体" w:hAnsi="宋体"/>
                <w:szCs w:val="21"/>
              </w:rPr>
              <w:t>格级别</w:t>
            </w:r>
          </w:p>
        </w:tc>
        <w:tc>
          <w:tcPr>
            <w:tcW w:w="3128" w:type="dxa"/>
            <w:tcBorders>
              <w:top w:val="single" w:color="auto" w:sz="4" w:space="0"/>
              <w:left w:val="single" w:color="auto" w:sz="4" w:space="0"/>
              <w:bottom w:val="single" w:color="auto" w:sz="4" w:space="0"/>
              <w:right w:val="single" w:color="auto" w:sz="4" w:space="0"/>
            </w:tcBorders>
            <w:vAlign w:val="center"/>
          </w:tcPr>
          <w:p>
            <w:pP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306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r>
              <w:rPr>
                <w:rFonts w:hint="eastAsia" w:ascii="宋体" w:hAnsi="宋体"/>
                <w:szCs w:val="21"/>
              </w:rPr>
              <w:t>磋商范围</w:t>
            </w:r>
          </w:p>
        </w:tc>
        <w:tc>
          <w:tcPr>
            <w:tcW w:w="6077"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3060"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szCs w:val="21"/>
              </w:rPr>
            </w:pPr>
            <w:r>
              <w:rPr>
                <w:rFonts w:hint="eastAsia" w:ascii="宋体" w:hAnsi="宋体"/>
                <w:szCs w:val="21"/>
              </w:rPr>
              <w:t>磋商报价</w:t>
            </w:r>
          </w:p>
        </w:tc>
        <w:tc>
          <w:tcPr>
            <w:tcW w:w="2949" w:type="dxa"/>
            <w:gridSpan w:val="2"/>
            <w:tcBorders>
              <w:top w:val="single" w:color="auto" w:sz="4" w:space="0"/>
              <w:left w:val="single" w:color="auto" w:sz="4" w:space="0"/>
              <w:bottom w:val="single" w:color="auto" w:sz="4" w:space="0"/>
              <w:right w:val="single" w:color="auto" w:sz="4" w:space="0"/>
            </w:tcBorders>
            <w:vAlign w:val="center"/>
          </w:tcPr>
          <w:p>
            <w:pPr>
              <w:rPr>
                <w:rFonts w:ascii="宋体" w:hAnsi="宋体"/>
                <w:szCs w:val="21"/>
              </w:rPr>
            </w:pPr>
            <w:r>
              <w:rPr>
                <w:rFonts w:hint="eastAsia" w:ascii="宋体" w:hAnsi="宋体"/>
                <w:szCs w:val="21"/>
              </w:rPr>
              <w:t>（大写）</w:t>
            </w:r>
          </w:p>
        </w:tc>
        <w:tc>
          <w:tcPr>
            <w:tcW w:w="3128" w:type="dxa"/>
            <w:tcBorders>
              <w:top w:val="single" w:color="auto" w:sz="4" w:space="0"/>
              <w:left w:val="single" w:color="auto" w:sz="4" w:space="0"/>
              <w:bottom w:val="single" w:color="auto" w:sz="4" w:space="0"/>
              <w:right w:val="single" w:color="auto" w:sz="4" w:space="0"/>
            </w:tcBorders>
            <w:vAlign w:val="center"/>
          </w:tcPr>
          <w:p>
            <w:pPr>
              <w:rPr>
                <w:rFonts w:ascii="宋体" w:hAnsi="宋体"/>
                <w:szCs w:val="21"/>
              </w:rPr>
            </w:pPr>
            <w:r>
              <w:rPr>
                <w:rFonts w:hint="eastAsia" w:ascii="宋体" w:hAnsi="宋体"/>
                <w:szCs w:val="21"/>
              </w:rPr>
              <w:t>（小写）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306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r>
              <w:rPr>
                <w:rFonts w:hint="eastAsia" w:ascii="宋体" w:hAnsi="宋体"/>
                <w:szCs w:val="21"/>
              </w:rPr>
              <w:t>质量</w:t>
            </w:r>
          </w:p>
        </w:tc>
        <w:tc>
          <w:tcPr>
            <w:tcW w:w="6077"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306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r>
              <w:rPr>
                <w:rFonts w:hint="eastAsia" w:ascii="宋体" w:hAnsi="宋体"/>
                <w:szCs w:val="21"/>
              </w:rPr>
              <w:t>工期</w:t>
            </w:r>
          </w:p>
        </w:tc>
        <w:tc>
          <w:tcPr>
            <w:tcW w:w="6077"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306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r>
              <w:rPr>
                <w:rFonts w:hint="eastAsia" w:ascii="宋体" w:hAnsi="宋体"/>
                <w:szCs w:val="21"/>
              </w:rPr>
              <w:t>缺陷责任期</w:t>
            </w:r>
          </w:p>
        </w:tc>
        <w:tc>
          <w:tcPr>
            <w:tcW w:w="6077" w:type="dxa"/>
            <w:gridSpan w:val="3"/>
            <w:tcBorders>
              <w:top w:val="single" w:color="auto" w:sz="4" w:space="0"/>
              <w:left w:val="single" w:color="auto" w:sz="4" w:space="0"/>
              <w:bottom w:val="single" w:color="auto" w:sz="4" w:space="0"/>
              <w:right w:val="single" w:color="auto" w:sz="4" w:space="0"/>
            </w:tcBorders>
            <w:vAlign w:val="center"/>
          </w:tcPr>
          <w:p>
            <w:pPr>
              <w:ind w:firstLine="480" w:firstLineChars="200"/>
              <w:jc w:val="center"/>
              <w:rPr>
                <w:rFonts w:ascii="宋体" w:hAnsi="宋体"/>
                <w:szCs w:val="21"/>
              </w:rPr>
            </w:pPr>
            <w:r>
              <w:rPr>
                <w:rFonts w:hint="eastAsia" w:ascii="宋体" w:hAnsi="宋体" w:cs="宋体"/>
                <w:sz w:val="24"/>
                <w:szCs w:val="21"/>
              </w:rPr>
              <w:t>自竣工验收合格后12个月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306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r>
              <w:rPr>
                <w:rFonts w:hint="eastAsia" w:ascii="宋体" w:hAnsi="宋体"/>
                <w:szCs w:val="21"/>
              </w:rPr>
              <w:t>磋商有效期</w:t>
            </w:r>
          </w:p>
        </w:tc>
        <w:tc>
          <w:tcPr>
            <w:tcW w:w="6077"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r>
              <w:rPr>
                <w:rFonts w:hint="eastAsia" w:ascii="宋体" w:hAnsi="宋体" w:cs="宋体"/>
                <w:szCs w:val="21"/>
              </w:rPr>
              <w:t>提交响应文件截止之日起</w:t>
            </w:r>
            <w:r>
              <w:rPr>
                <w:rFonts w:hint="eastAsia" w:ascii="宋体" w:hAnsi="宋体"/>
                <w:szCs w:val="21"/>
              </w:rPr>
              <w:t>60日历天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306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r>
              <w:rPr>
                <w:rFonts w:hint="eastAsia" w:ascii="宋体" w:hAnsi="宋体"/>
                <w:szCs w:val="21"/>
              </w:rPr>
              <w:t>承诺</w:t>
            </w:r>
          </w:p>
        </w:tc>
        <w:tc>
          <w:tcPr>
            <w:tcW w:w="6077"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9137" w:type="dxa"/>
            <w:gridSpan w:val="4"/>
            <w:tcBorders>
              <w:top w:val="single" w:color="auto" w:sz="4" w:space="0"/>
              <w:left w:val="single" w:color="auto" w:sz="4" w:space="0"/>
              <w:bottom w:val="single" w:color="auto" w:sz="4" w:space="0"/>
              <w:right w:val="single" w:color="auto" w:sz="4" w:space="0"/>
            </w:tcBorders>
          </w:tcPr>
          <w:p>
            <w:pPr>
              <w:rPr>
                <w:rFonts w:ascii="宋体" w:hAnsi="宋体"/>
                <w:sz w:val="18"/>
                <w:szCs w:val="21"/>
              </w:rPr>
            </w:pPr>
            <w:r>
              <w:rPr>
                <w:rFonts w:hint="eastAsia" w:ascii="宋体" w:hAnsi="宋体"/>
                <w:b/>
              </w:rPr>
              <w:t>备注：</w:t>
            </w:r>
            <w:r>
              <w:rPr>
                <w:rFonts w:hint="eastAsia" w:ascii="宋体" w:hAnsi="宋体"/>
                <w:b/>
                <w:lang w:eastAsia="zh-CN"/>
              </w:rPr>
              <w:t>响应人</w:t>
            </w:r>
            <w:r>
              <w:rPr>
                <w:rFonts w:hint="eastAsia" w:ascii="宋体" w:hAnsi="宋体"/>
                <w:b/>
              </w:rPr>
              <w:t>在竞争性磋商文件中规定的实质性要求和条件的基础上，可做出其他有利于采购人的承诺。此类承诺可在本表中予以补充填写，可另附页。</w:t>
            </w:r>
          </w:p>
        </w:tc>
      </w:tr>
    </w:tbl>
    <w:p>
      <w:pPr>
        <w:rPr>
          <w:rFonts w:ascii="宋体" w:hAnsi="宋体"/>
        </w:rPr>
      </w:pPr>
    </w:p>
    <w:p>
      <w:pPr>
        <w:spacing w:line="360" w:lineRule="auto"/>
        <w:rPr>
          <w:rFonts w:ascii="宋体" w:hAnsi="宋体"/>
        </w:rPr>
      </w:pPr>
      <w:r>
        <w:rPr>
          <w:rFonts w:hint="eastAsia" w:ascii="宋体" w:hAnsi="宋体"/>
          <w:lang w:eastAsia="zh-CN"/>
        </w:rPr>
        <w:t>响应人</w:t>
      </w:r>
      <w:r>
        <w:rPr>
          <w:szCs w:val="21"/>
        </w:rPr>
        <w:t>（</w:t>
      </w:r>
      <w:r>
        <w:rPr>
          <w:rFonts w:hint="eastAsia"/>
          <w:szCs w:val="21"/>
        </w:rPr>
        <w:t>企业电子签章或盖章</w:t>
      </w:r>
      <w:r>
        <w:rPr>
          <w:szCs w:val="21"/>
        </w:rPr>
        <w:t>）</w:t>
      </w:r>
      <w:r>
        <w:rPr>
          <w:rFonts w:ascii="宋体" w:hAnsi="宋体"/>
        </w:rPr>
        <w:t>:</w:t>
      </w:r>
    </w:p>
    <w:p>
      <w:pPr>
        <w:spacing w:line="360" w:lineRule="auto"/>
        <w:rPr>
          <w:rFonts w:ascii="宋体" w:hAnsi="宋体"/>
        </w:rPr>
      </w:pPr>
      <w:r>
        <w:rPr>
          <w:rFonts w:hint="eastAsia" w:ascii="宋体" w:hAnsi="宋体"/>
          <w:lang w:eastAsia="zh-CN"/>
        </w:rPr>
        <w:t>响应人</w:t>
      </w:r>
      <w:r>
        <w:rPr>
          <w:rFonts w:hint="eastAsia" w:ascii="宋体" w:hAnsi="宋体"/>
        </w:rPr>
        <w:t>法定代表人或其授权委托人（个人电子签章或盖章或签字)：</w:t>
      </w:r>
    </w:p>
    <w:p>
      <w:pPr>
        <w:ind w:firstLine="630" w:firstLineChars="300"/>
        <w:rPr>
          <w:rFonts w:ascii="宋体" w:hAnsi="宋体"/>
        </w:rPr>
      </w:pPr>
      <w:r>
        <w:rPr>
          <w:szCs w:val="21"/>
        </w:rPr>
        <w:t>年</w:t>
      </w:r>
      <w:r>
        <w:rPr>
          <w:rFonts w:hint="eastAsia"/>
          <w:szCs w:val="21"/>
        </w:rPr>
        <w:t xml:space="preserve"> </w:t>
      </w:r>
      <w:r>
        <w:rPr>
          <w:szCs w:val="21"/>
        </w:rPr>
        <w:t xml:space="preserve">  月</w:t>
      </w:r>
      <w:r>
        <w:rPr>
          <w:rFonts w:hint="eastAsia"/>
          <w:szCs w:val="21"/>
        </w:rPr>
        <w:t xml:space="preserve"> </w:t>
      </w:r>
      <w:r>
        <w:rPr>
          <w:szCs w:val="21"/>
        </w:rPr>
        <w:t xml:space="preserve">   日</w:t>
      </w:r>
      <w:r>
        <w:rPr>
          <w:rFonts w:ascii="宋体" w:hAnsi="宋体"/>
        </w:rPr>
        <w:tab/>
      </w:r>
      <w:r>
        <w:rPr>
          <w:rFonts w:ascii="宋体" w:hAnsi="宋体"/>
        </w:rPr>
        <w:tab/>
      </w:r>
    </w:p>
    <w:p>
      <w:pPr>
        <w:rPr>
          <w:rFonts w:ascii="宋体" w:hAnsi="宋体"/>
        </w:rPr>
      </w:pPr>
      <w:r>
        <w:rPr>
          <w:rFonts w:ascii="宋体" w:hAnsi="宋体"/>
        </w:rPr>
        <w:tab/>
      </w:r>
    </w:p>
    <w:p>
      <w:pPr>
        <w:ind w:firstLine="210" w:firstLineChars="100"/>
        <w:rPr>
          <w:rFonts w:ascii="宋体" w:hAnsi="宋体"/>
        </w:rPr>
      </w:pPr>
    </w:p>
    <w:p>
      <w:pPr>
        <w:widowControl/>
        <w:jc w:val="left"/>
      </w:pPr>
      <w:r>
        <w:br w:type="page"/>
      </w:r>
    </w:p>
    <w:p>
      <w:pPr>
        <w:pStyle w:val="4"/>
        <w:spacing w:before="0"/>
        <w:rPr>
          <w:sz w:val="28"/>
        </w:rPr>
      </w:pPr>
      <w:bookmarkStart w:id="68" w:name="_Toc43371497"/>
      <w:r>
        <w:rPr>
          <w:rFonts w:hint="eastAsia"/>
          <w:sz w:val="28"/>
        </w:rPr>
        <w:t>二、法定代表人身份证明</w:t>
      </w:r>
      <w:bookmarkEnd w:id="68"/>
    </w:p>
    <w:p>
      <w:pPr>
        <w:pStyle w:val="5"/>
        <w:ind w:firstLine="0" w:firstLineChars="0"/>
      </w:pPr>
    </w:p>
    <w:p>
      <w:pPr>
        <w:spacing w:line="440" w:lineRule="exact"/>
        <w:rPr>
          <w:szCs w:val="21"/>
        </w:rPr>
      </w:pPr>
      <w:r>
        <w:rPr>
          <w:rFonts w:hint="eastAsia"/>
          <w:szCs w:val="21"/>
          <w:lang w:eastAsia="zh-CN"/>
        </w:rPr>
        <w:t>响应人</w:t>
      </w:r>
      <w:r>
        <w:rPr>
          <w:szCs w:val="21"/>
        </w:rPr>
        <w:t>名称：</w:t>
      </w:r>
    </w:p>
    <w:p>
      <w:pPr>
        <w:spacing w:line="440" w:lineRule="exact"/>
        <w:rPr>
          <w:szCs w:val="21"/>
        </w:rPr>
      </w:pPr>
      <w:r>
        <w:rPr>
          <w:szCs w:val="21"/>
        </w:rPr>
        <w:t>单位性质：</w:t>
      </w:r>
    </w:p>
    <w:p>
      <w:pPr>
        <w:spacing w:line="440" w:lineRule="exact"/>
        <w:rPr>
          <w:szCs w:val="21"/>
        </w:rPr>
      </w:pPr>
      <w:r>
        <w:rPr>
          <w:szCs w:val="21"/>
        </w:rPr>
        <w:t>地址：</w:t>
      </w:r>
    </w:p>
    <w:p>
      <w:pPr>
        <w:spacing w:line="440" w:lineRule="exact"/>
        <w:rPr>
          <w:szCs w:val="21"/>
        </w:rPr>
      </w:pPr>
      <w:r>
        <w:rPr>
          <w:szCs w:val="21"/>
        </w:rPr>
        <w:t>成立时间：年月日</w:t>
      </w:r>
    </w:p>
    <w:p>
      <w:pPr>
        <w:spacing w:line="440" w:lineRule="exact"/>
        <w:rPr>
          <w:szCs w:val="21"/>
        </w:rPr>
      </w:pPr>
      <w:r>
        <w:rPr>
          <w:szCs w:val="21"/>
        </w:rPr>
        <w:t>经营期限：</w:t>
      </w:r>
    </w:p>
    <w:p>
      <w:pPr>
        <w:spacing w:line="440" w:lineRule="exact"/>
        <w:rPr>
          <w:szCs w:val="21"/>
        </w:rPr>
      </w:pPr>
      <w:r>
        <w:rPr>
          <w:szCs w:val="21"/>
        </w:rPr>
        <w:t>姓名：性别：年龄：职务：</w:t>
      </w:r>
    </w:p>
    <w:p>
      <w:pPr>
        <w:spacing w:line="440" w:lineRule="exact"/>
        <w:rPr>
          <w:szCs w:val="21"/>
        </w:rPr>
      </w:pPr>
      <w:r>
        <w:rPr>
          <w:szCs w:val="21"/>
        </w:rPr>
        <w:t>系</w:t>
      </w:r>
      <w:r>
        <w:rPr>
          <w:rFonts w:hint="eastAsia"/>
          <w:szCs w:val="21"/>
        </w:rPr>
        <w:t>（</w:t>
      </w:r>
      <w:r>
        <w:rPr>
          <w:rFonts w:hint="eastAsia"/>
          <w:szCs w:val="21"/>
          <w:lang w:eastAsia="zh-CN"/>
        </w:rPr>
        <w:t>响应人</w:t>
      </w:r>
      <w:r>
        <w:rPr>
          <w:szCs w:val="21"/>
        </w:rPr>
        <w:t>名称</w:t>
      </w:r>
      <w:r>
        <w:rPr>
          <w:rFonts w:hint="eastAsia"/>
          <w:szCs w:val="21"/>
        </w:rPr>
        <w:t>）</w:t>
      </w:r>
      <w:r>
        <w:rPr>
          <w:szCs w:val="21"/>
        </w:rPr>
        <w:t>的法定代表人。</w:t>
      </w:r>
    </w:p>
    <w:p>
      <w:pPr>
        <w:spacing w:line="440" w:lineRule="exact"/>
        <w:ind w:firstLine="420" w:firstLineChars="200"/>
        <w:rPr>
          <w:szCs w:val="21"/>
        </w:rPr>
      </w:pPr>
      <w:r>
        <w:rPr>
          <w:szCs w:val="21"/>
        </w:rPr>
        <w:t>特此证明。</w:t>
      </w:r>
    </w:p>
    <w:p>
      <w:pPr>
        <w:spacing w:line="440" w:lineRule="exact"/>
        <w:rPr>
          <w:szCs w:val="21"/>
        </w:rPr>
      </w:pPr>
    </w:p>
    <w:p>
      <w:pPr>
        <w:spacing w:line="440" w:lineRule="exact"/>
        <w:rPr>
          <w:szCs w:val="21"/>
        </w:rPr>
      </w:pPr>
    </w:p>
    <w:p>
      <w:pPr>
        <w:spacing w:line="440" w:lineRule="exact"/>
        <w:rPr>
          <w:szCs w:val="21"/>
        </w:rPr>
      </w:pPr>
      <w:r>
        <w:rPr>
          <w:rFonts w:hint="eastAsia"/>
          <w:szCs w:val="21"/>
          <w:lang w:eastAsia="zh-CN"/>
        </w:rPr>
        <w:t>响应人</w:t>
      </w:r>
      <w:r>
        <w:rPr>
          <w:szCs w:val="21"/>
        </w:rPr>
        <w:t>：（</w:t>
      </w:r>
      <w:r>
        <w:rPr>
          <w:rFonts w:hint="eastAsia"/>
          <w:szCs w:val="21"/>
        </w:rPr>
        <w:t>企业电子签章或盖章</w:t>
      </w:r>
      <w:r>
        <w:rPr>
          <w:szCs w:val="21"/>
        </w:rPr>
        <w:t>）</w:t>
      </w:r>
    </w:p>
    <w:p>
      <w:pPr>
        <w:pStyle w:val="5"/>
        <w:ind w:firstLine="210" w:firstLineChars="100"/>
      </w:pPr>
      <w:r>
        <w:rPr>
          <w:szCs w:val="21"/>
        </w:rPr>
        <w:t>年</w:t>
      </w:r>
      <w:r>
        <w:rPr>
          <w:rFonts w:hint="eastAsia"/>
          <w:szCs w:val="21"/>
        </w:rPr>
        <w:t xml:space="preserve"> </w:t>
      </w:r>
      <w:r>
        <w:rPr>
          <w:szCs w:val="21"/>
        </w:rPr>
        <w:t xml:space="preserve">  月</w:t>
      </w:r>
      <w:r>
        <w:rPr>
          <w:rFonts w:hint="eastAsia"/>
          <w:szCs w:val="21"/>
        </w:rPr>
        <w:t xml:space="preserve"> </w:t>
      </w:r>
      <w:r>
        <w:rPr>
          <w:szCs w:val="21"/>
        </w:rPr>
        <w:t xml:space="preserve"> 日</w:t>
      </w:r>
    </w:p>
    <w:p>
      <w:pPr>
        <w:widowControl/>
        <w:jc w:val="left"/>
      </w:pPr>
      <w:r>
        <w:br w:type="page"/>
      </w:r>
    </w:p>
    <w:p>
      <w:pPr>
        <w:pStyle w:val="4"/>
        <w:rPr>
          <w:sz w:val="28"/>
        </w:rPr>
      </w:pPr>
      <w:bookmarkStart w:id="69" w:name="_Toc43371498"/>
      <w:r>
        <w:rPr>
          <w:rFonts w:hint="eastAsia"/>
          <w:sz w:val="28"/>
        </w:rPr>
        <w:t>三、授权委托书</w:t>
      </w:r>
      <w:bookmarkEnd w:id="69"/>
    </w:p>
    <w:p>
      <w:pPr>
        <w:topLinePunct/>
        <w:spacing w:line="440" w:lineRule="exact"/>
        <w:ind w:firstLine="420" w:firstLineChars="200"/>
        <w:rPr>
          <w:szCs w:val="21"/>
        </w:rPr>
      </w:pPr>
      <w:r>
        <w:rPr>
          <w:szCs w:val="21"/>
        </w:rPr>
        <w:t>本人</w:t>
      </w:r>
      <w:r>
        <w:rPr>
          <w:szCs w:val="21"/>
          <w:u w:val="single"/>
        </w:rPr>
        <w:t>（姓名）</w:t>
      </w:r>
      <w:r>
        <w:rPr>
          <w:szCs w:val="21"/>
        </w:rPr>
        <w:t>系</w:t>
      </w:r>
      <w:r>
        <w:rPr>
          <w:szCs w:val="21"/>
          <w:u w:val="single"/>
        </w:rPr>
        <w:t>（</w:t>
      </w:r>
      <w:r>
        <w:rPr>
          <w:rFonts w:hint="eastAsia"/>
          <w:szCs w:val="21"/>
          <w:u w:val="single"/>
          <w:lang w:eastAsia="zh-CN"/>
        </w:rPr>
        <w:t>响应人</w:t>
      </w:r>
      <w:r>
        <w:rPr>
          <w:szCs w:val="21"/>
          <w:u w:val="single"/>
        </w:rPr>
        <w:t>名称）</w:t>
      </w:r>
      <w:r>
        <w:rPr>
          <w:szCs w:val="21"/>
        </w:rPr>
        <w:t>的法定代表人，现委托</w:t>
      </w:r>
      <w:r>
        <w:rPr>
          <w:szCs w:val="21"/>
          <w:u w:val="single"/>
        </w:rPr>
        <w:t>（姓名）</w:t>
      </w:r>
      <w:r>
        <w:rPr>
          <w:szCs w:val="21"/>
        </w:rPr>
        <w:t>为我方代理人。代理人根据授权，以我方名义签署、澄清</w:t>
      </w:r>
      <w:r>
        <w:rPr>
          <w:rFonts w:hint="eastAsia"/>
          <w:szCs w:val="21"/>
        </w:rPr>
        <w:t>、说明、补正</w:t>
      </w:r>
      <w:r>
        <w:rPr>
          <w:szCs w:val="21"/>
        </w:rPr>
        <w:t>、提交、撤回、修改</w:t>
      </w:r>
      <w:r>
        <w:rPr>
          <w:szCs w:val="21"/>
          <w:u w:val="single"/>
        </w:rPr>
        <w:t>（项目名称）</w:t>
      </w:r>
      <w:r>
        <w:rPr>
          <w:szCs w:val="21"/>
        </w:rPr>
        <w:t>响应文件、签订合同和处理有关事宜，其法律后果由我方承担。</w:t>
      </w:r>
    </w:p>
    <w:p>
      <w:pPr>
        <w:spacing w:line="440" w:lineRule="exact"/>
        <w:ind w:firstLine="420" w:firstLineChars="200"/>
        <w:rPr>
          <w:szCs w:val="21"/>
        </w:rPr>
      </w:pPr>
      <w:r>
        <w:rPr>
          <w:szCs w:val="21"/>
        </w:rPr>
        <w:t>委托期限：</w:t>
      </w:r>
      <w:r>
        <w:rPr>
          <w:rFonts w:hint="eastAsia"/>
          <w:szCs w:val="21"/>
          <w:u w:val="single"/>
        </w:rPr>
        <w:t xml:space="preserve"> </w:t>
      </w:r>
      <w:r>
        <w:rPr>
          <w:szCs w:val="21"/>
          <w:u w:val="single"/>
        </w:rPr>
        <w:t xml:space="preserve">             </w:t>
      </w:r>
      <w:r>
        <w:rPr>
          <w:rFonts w:hint="eastAsia"/>
          <w:szCs w:val="21"/>
        </w:rPr>
        <w:t>。</w:t>
      </w:r>
    </w:p>
    <w:p>
      <w:pPr>
        <w:spacing w:line="440" w:lineRule="exact"/>
        <w:ind w:firstLine="420" w:firstLineChars="200"/>
        <w:rPr>
          <w:szCs w:val="21"/>
        </w:rPr>
      </w:pPr>
      <w:r>
        <w:rPr>
          <w:szCs w:val="21"/>
        </w:rPr>
        <w:t>代理人无转委托权。</w:t>
      </w:r>
    </w:p>
    <w:p>
      <w:pPr>
        <w:spacing w:line="440" w:lineRule="exact"/>
        <w:ind w:firstLine="420" w:firstLineChars="200"/>
        <w:rPr>
          <w:szCs w:val="21"/>
        </w:rPr>
      </w:pPr>
      <w:r>
        <w:rPr>
          <w:rFonts w:hint="eastAsia"/>
          <w:szCs w:val="21"/>
        </w:rPr>
        <w:t>附：法定代表人和委托代理人身份证复印件或扫描件</w:t>
      </w:r>
    </w:p>
    <w:p>
      <w:pPr>
        <w:spacing w:line="440" w:lineRule="exact"/>
        <w:rPr>
          <w:szCs w:val="21"/>
        </w:rPr>
      </w:pPr>
    </w:p>
    <w:p>
      <w:pPr>
        <w:spacing w:line="440" w:lineRule="exact"/>
        <w:rPr>
          <w:szCs w:val="21"/>
        </w:rPr>
      </w:pPr>
    </w:p>
    <w:p>
      <w:pPr>
        <w:spacing w:line="440" w:lineRule="exact"/>
        <w:rPr>
          <w:szCs w:val="21"/>
        </w:rPr>
      </w:pPr>
      <w:r>
        <w:rPr>
          <w:rFonts w:hint="eastAsia"/>
          <w:szCs w:val="21"/>
          <w:lang w:eastAsia="zh-CN"/>
        </w:rPr>
        <w:t>响应人</w:t>
      </w:r>
      <w:r>
        <w:rPr>
          <w:szCs w:val="21"/>
        </w:rPr>
        <w:t>：（</w:t>
      </w:r>
      <w:r>
        <w:rPr>
          <w:rFonts w:hint="eastAsia"/>
          <w:szCs w:val="21"/>
        </w:rPr>
        <w:t>企业电子签章或盖章</w:t>
      </w:r>
      <w:r>
        <w:rPr>
          <w:szCs w:val="21"/>
        </w:rPr>
        <w:t>）</w:t>
      </w:r>
    </w:p>
    <w:p>
      <w:pPr>
        <w:spacing w:line="440" w:lineRule="exact"/>
        <w:rPr>
          <w:szCs w:val="21"/>
        </w:rPr>
      </w:pPr>
    </w:p>
    <w:p>
      <w:pPr>
        <w:spacing w:line="440" w:lineRule="exact"/>
        <w:rPr>
          <w:szCs w:val="21"/>
        </w:rPr>
      </w:pPr>
      <w:r>
        <w:rPr>
          <w:szCs w:val="21"/>
        </w:rPr>
        <w:t>法定代表人：（</w:t>
      </w:r>
      <w:r>
        <w:rPr>
          <w:rFonts w:hint="eastAsia"/>
          <w:szCs w:val="21"/>
        </w:rPr>
        <w:t>个人电子签章或盖章或签字</w:t>
      </w:r>
      <w:r>
        <w:rPr>
          <w:szCs w:val="21"/>
        </w:rPr>
        <w:t>）</w:t>
      </w:r>
    </w:p>
    <w:p>
      <w:pPr>
        <w:spacing w:line="440" w:lineRule="exact"/>
        <w:rPr>
          <w:szCs w:val="21"/>
        </w:rPr>
      </w:pPr>
    </w:p>
    <w:p>
      <w:pPr>
        <w:spacing w:line="440" w:lineRule="exact"/>
        <w:rPr>
          <w:szCs w:val="21"/>
        </w:rPr>
      </w:pPr>
      <w:r>
        <w:rPr>
          <w:szCs w:val="21"/>
        </w:rPr>
        <w:t>身份证号码：</w:t>
      </w:r>
    </w:p>
    <w:p>
      <w:pPr>
        <w:spacing w:line="440" w:lineRule="exact"/>
        <w:rPr>
          <w:szCs w:val="21"/>
        </w:rPr>
      </w:pPr>
    </w:p>
    <w:p>
      <w:pPr>
        <w:spacing w:line="440" w:lineRule="exact"/>
        <w:rPr>
          <w:szCs w:val="21"/>
        </w:rPr>
      </w:pPr>
      <w:r>
        <w:rPr>
          <w:szCs w:val="21"/>
        </w:rPr>
        <w:t>委托代理人：（</w:t>
      </w:r>
      <w:r>
        <w:rPr>
          <w:rFonts w:hint="eastAsia"/>
          <w:szCs w:val="21"/>
        </w:rPr>
        <w:t>个人电子签章或盖章或签字</w:t>
      </w:r>
      <w:r>
        <w:rPr>
          <w:szCs w:val="21"/>
        </w:rPr>
        <w:t>）</w:t>
      </w:r>
    </w:p>
    <w:p>
      <w:pPr>
        <w:spacing w:line="440" w:lineRule="exact"/>
        <w:rPr>
          <w:szCs w:val="21"/>
        </w:rPr>
      </w:pPr>
    </w:p>
    <w:p>
      <w:pPr>
        <w:pStyle w:val="5"/>
        <w:ind w:firstLine="0" w:firstLineChars="0"/>
        <w:rPr>
          <w:szCs w:val="21"/>
        </w:rPr>
      </w:pPr>
      <w:r>
        <w:rPr>
          <w:szCs w:val="21"/>
        </w:rPr>
        <w:t>身份证号码：</w:t>
      </w:r>
    </w:p>
    <w:p>
      <w:pPr>
        <w:pStyle w:val="5"/>
        <w:ind w:firstLine="0" w:firstLineChars="0"/>
        <w:rPr>
          <w:szCs w:val="21"/>
        </w:rPr>
      </w:pPr>
    </w:p>
    <w:p>
      <w:pPr>
        <w:pStyle w:val="5"/>
        <w:ind w:firstLine="0" w:firstLineChars="0"/>
        <w:rPr>
          <w:szCs w:val="21"/>
        </w:rPr>
      </w:pPr>
    </w:p>
    <w:p>
      <w:pPr>
        <w:pStyle w:val="5"/>
        <w:ind w:firstLine="0" w:firstLineChars="0"/>
        <w:rPr>
          <w:szCs w:val="21"/>
        </w:rPr>
      </w:pPr>
    </w:p>
    <w:p>
      <w:pPr>
        <w:pStyle w:val="5"/>
        <w:ind w:firstLine="0" w:firstLineChars="0"/>
        <w:rPr>
          <w:szCs w:val="21"/>
        </w:rPr>
      </w:pPr>
    </w:p>
    <w:p>
      <w:pPr>
        <w:pStyle w:val="5"/>
        <w:ind w:firstLine="0" w:firstLineChars="0"/>
        <w:rPr>
          <w:szCs w:val="21"/>
        </w:rPr>
      </w:pPr>
    </w:p>
    <w:p>
      <w:pPr>
        <w:pStyle w:val="5"/>
        <w:ind w:firstLine="0" w:firstLineChars="0"/>
        <w:rPr>
          <w:szCs w:val="21"/>
        </w:rPr>
      </w:pPr>
    </w:p>
    <w:p>
      <w:pPr>
        <w:pStyle w:val="5"/>
        <w:ind w:firstLine="0" w:firstLineChars="0"/>
        <w:rPr>
          <w:szCs w:val="21"/>
        </w:rPr>
      </w:pPr>
    </w:p>
    <w:p>
      <w:pPr>
        <w:pStyle w:val="5"/>
        <w:ind w:firstLine="0" w:firstLineChars="0"/>
        <w:rPr>
          <w:szCs w:val="21"/>
        </w:rPr>
      </w:pPr>
    </w:p>
    <w:p>
      <w:pPr>
        <w:pStyle w:val="5"/>
        <w:ind w:firstLine="0" w:firstLineChars="0"/>
        <w:rPr>
          <w:szCs w:val="21"/>
        </w:rPr>
      </w:pPr>
    </w:p>
    <w:p>
      <w:pPr>
        <w:pStyle w:val="5"/>
        <w:ind w:firstLine="0" w:firstLineChars="0"/>
        <w:rPr>
          <w:szCs w:val="21"/>
        </w:rPr>
      </w:pPr>
    </w:p>
    <w:p>
      <w:pPr>
        <w:pStyle w:val="5"/>
        <w:ind w:firstLine="0" w:firstLineChars="0"/>
        <w:rPr>
          <w:szCs w:val="21"/>
        </w:rPr>
      </w:pPr>
    </w:p>
    <w:p>
      <w:pPr>
        <w:pStyle w:val="5"/>
        <w:ind w:firstLine="0" w:firstLineChars="0"/>
      </w:pPr>
    </w:p>
    <w:p>
      <w:pPr>
        <w:pStyle w:val="4"/>
        <w:rPr>
          <w:sz w:val="28"/>
        </w:rPr>
      </w:pPr>
      <w:bookmarkStart w:id="70" w:name="_Toc43371499"/>
      <w:r>
        <w:rPr>
          <w:rFonts w:hint="eastAsia"/>
          <w:sz w:val="28"/>
        </w:rPr>
        <w:t>四、磋商承诺函</w:t>
      </w:r>
      <w:bookmarkEnd w:id="70"/>
    </w:p>
    <w:p>
      <w:pPr>
        <w:pStyle w:val="7"/>
        <w:spacing w:before="0"/>
        <w:jc w:val="center"/>
      </w:pPr>
      <w:r>
        <w:rPr>
          <w:rFonts w:hint="eastAsia"/>
        </w:rPr>
        <w:t>1、磋商承诺函</w:t>
      </w:r>
    </w:p>
    <w:p>
      <w:pPr>
        <w:pStyle w:val="39"/>
        <w:spacing w:before="0" w:beforeAutospacing="0" w:after="0" w:afterAutospacing="0" w:line="360" w:lineRule="auto"/>
        <w:jc w:val="both"/>
        <w:rPr>
          <w:rFonts w:asciiTheme="minorEastAsia" w:hAnsiTheme="minorEastAsia" w:eastAsiaTheme="minorEastAsia"/>
          <w:spacing w:val="7"/>
          <w:sz w:val="22"/>
          <w:szCs w:val="26"/>
        </w:rPr>
      </w:pPr>
      <w:r>
        <w:rPr>
          <w:rFonts w:hint="eastAsia" w:asciiTheme="minorEastAsia" w:hAnsiTheme="minorEastAsia" w:eastAsiaTheme="minorEastAsia"/>
          <w:sz w:val="21"/>
        </w:rPr>
        <w:t>致（采购代理机构）</w:t>
      </w:r>
      <w:r>
        <w:rPr>
          <w:rFonts w:hint="eastAsia" w:asciiTheme="minorEastAsia" w:hAnsiTheme="minorEastAsia" w:eastAsiaTheme="minorEastAsia"/>
          <w:spacing w:val="7"/>
          <w:sz w:val="21"/>
        </w:rPr>
        <w:t>：</w:t>
      </w:r>
    </w:p>
    <w:p>
      <w:pPr>
        <w:pStyle w:val="39"/>
        <w:spacing w:before="0" w:beforeAutospacing="0" w:after="0" w:afterAutospacing="0" w:line="360" w:lineRule="auto"/>
        <w:ind w:firstLine="480"/>
        <w:rPr>
          <w:rFonts w:asciiTheme="minorEastAsia" w:hAnsiTheme="minorEastAsia" w:eastAsiaTheme="minorEastAsia"/>
          <w:spacing w:val="7"/>
          <w:sz w:val="22"/>
          <w:szCs w:val="26"/>
        </w:rPr>
      </w:pPr>
      <w:r>
        <w:rPr>
          <w:rFonts w:hint="eastAsia" w:asciiTheme="minorEastAsia" w:hAnsiTheme="minorEastAsia" w:eastAsiaTheme="minorEastAsia"/>
          <w:spacing w:val="7"/>
          <w:sz w:val="21"/>
        </w:rPr>
        <w:t>我公司作为本次采购项目的</w:t>
      </w:r>
      <w:r>
        <w:rPr>
          <w:rFonts w:hint="eastAsia" w:asciiTheme="minorEastAsia" w:hAnsiTheme="minorEastAsia" w:eastAsiaTheme="minorEastAsia"/>
          <w:spacing w:val="7"/>
          <w:sz w:val="21"/>
          <w:lang w:eastAsia="zh-CN"/>
        </w:rPr>
        <w:t>响应人</w:t>
      </w:r>
      <w:r>
        <w:rPr>
          <w:rFonts w:hint="eastAsia" w:asciiTheme="minorEastAsia" w:hAnsiTheme="minorEastAsia" w:eastAsiaTheme="minorEastAsia"/>
          <w:spacing w:val="7"/>
          <w:sz w:val="21"/>
        </w:rPr>
        <w:t>，根据竞争性磋商文件要求，现郑重承诺如下：</w:t>
      </w:r>
    </w:p>
    <w:p>
      <w:pPr>
        <w:pStyle w:val="39"/>
        <w:spacing w:before="0" w:beforeAutospacing="0" w:after="0" w:afterAutospacing="0" w:line="360" w:lineRule="auto"/>
        <w:ind w:firstLine="480"/>
        <w:rPr>
          <w:rFonts w:asciiTheme="minorEastAsia" w:hAnsiTheme="minorEastAsia" w:eastAsiaTheme="minorEastAsia"/>
          <w:spacing w:val="7"/>
          <w:sz w:val="22"/>
          <w:szCs w:val="26"/>
        </w:rPr>
      </w:pPr>
      <w:r>
        <w:rPr>
          <w:rFonts w:hint="eastAsia" w:asciiTheme="minorEastAsia" w:hAnsiTheme="minorEastAsia" w:eastAsiaTheme="minorEastAsia"/>
          <w:spacing w:val="7"/>
          <w:sz w:val="21"/>
        </w:rPr>
        <w:t>一、具备《中华人民共和国政府采购法》第二十二条第一款和本项目规定的条件：</w:t>
      </w:r>
    </w:p>
    <w:p>
      <w:pPr>
        <w:pStyle w:val="39"/>
        <w:spacing w:before="0" w:beforeAutospacing="0" w:after="0" w:afterAutospacing="0" w:line="360" w:lineRule="auto"/>
        <w:ind w:firstLine="480"/>
        <w:rPr>
          <w:rFonts w:asciiTheme="minorEastAsia" w:hAnsiTheme="minorEastAsia" w:eastAsiaTheme="minorEastAsia"/>
          <w:spacing w:val="7"/>
          <w:sz w:val="22"/>
          <w:szCs w:val="26"/>
        </w:rPr>
      </w:pPr>
      <w:r>
        <w:rPr>
          <w:rFonts w:hint="eastAsia" w:asciiTheme="minorEastAsia" w:hAnsiTheme="minorEastAsia" w:eastAsiaTheme="minorEastAsia"/>
          <w:spacing w:val="7"/>
          <w:sz w:val="21"/>
        </w:rPr>
        <w:t>（一）具有独立承担民事责任的能力； 　　</w:t>
      </w:r>
    </w:p>
    <w:p>
      <w:pPr>
        <w:pStyle w:val="39"/>
        <w:spacing w:before="0" w:beforeAutospacing="0" w:after="0" w:afterAutospacing="0" w:line="360" w:lineRule="auto"/>
        <w:ind w:firstLine="480"/>
        <w:rPr>
          <w:rFonts w:asciiTheme="minorEastAsia" w:hAnsiTheme="minorEastAsia" w:eastAsiaTheme="minorEastAsia"/>
          <w:spacing w:val="7"/>
          <w:sz w:val="22"/>
          <w:szCs w:val="26"/>
        </w:rPr>
      </w:pPr>
      <w:r>
        <w:rPr>
          <w:rFonts w:hint="eastAsia" w:asciiTheme="minorEastAsia" w:hAnsiTheme="minorEastAsia" w:eastAsiaTheme="minorEastAsia"/>
          <w:spacing w:val="7"/>
          <w:sz w:val="21"/>
        </w:rPr>
        <w:t>（二）具有良好的商业信誉和健全的财务会计制度； 　</w:t>
      </w:r>
    </w:p>
    <w:p>
      <w:pPr>
        <w:pStyle w:val="39"/>
        <w:spacing w:before="0" w:beforeAutospacing="0" w:after="0" w:afterAutospacing="0" w:line="360" w:lineRule="auto"/>
        <w:ind w:firstLine="480"/>
        <w:rPr>
          <w:rFonts w:asciiTheme="minorEastAsia" w:hAnsiTheme="minorEastAsia" w:eastAsiaTheme="minorEastAsia"/>
          <w:spacing w:val="7"/>
          <w:sz w:val="22"/>
          <w:szCs w:val="26"/>
        </w:rPr>
      </w:pPr>
      <w:r>
        <w:rPr>
          <w:rFonts w:hint="eastAsia" w:asciiTheme="minorEastAsia" w:hAnsiTheme="minorEastAsia" w:eastAsiaTheme="minorEastAsia"/>
          <w:spacing w:val="7"/>
          <w:sz w:val="21"/>
        </w:rPr>
        <w:t>（三）具有履行合同所必需的设备和专业技术能力； 　　</w:t>
      </w:r>
    </w:p>
    <w:p>
      <w:pPr>
        <w:pStyle w:val="39"/>
        <w:spacing w:before="0" w:beforeAutospacing="0" w:after="0" w:afterAutospacing="0" w:line="360" w:lineRule="auto"/>
        <w:ind w:firstLine="480"/>
        <w:rPr>
          <w:rFonts w:asciiTheme="minorEastAsia" w:hAnsiTheme="minorEastAsia" w:eastAsiaTheme="minorEastAsia"/>
          <w:spacing w:val="7"/>
          <w:sz w:val="22"/>
          <w:szCs w:val="26"/>
        </w:rPr>
      </w:pPr>
      <w:r>
        <w:rPr>
          <w:rFonts w:hint="eastAsia" w:asciiTheme="minorEastAsia" w:hAnsiTheme="minorEastAsia" w:eastAsiaTheme="minorEastAsia"/>
          <w:spacing w:val="7"/>
          <w:sz w:val="21"/>
        </w:rPr>
        <w:t>（四）有依法缴纳税收和社会保障资金的良好记录； 　　</w:t>
      </w:r>
    </w:p>
    <w:p>
      <w:pPr>
        <w:pStyle w:val="39"/>
        <w:spacing w:before="0" w:beforeAutospacing="0" w:after="0" w:afterAutospacing="0" w:line="360" w:lineRule="auto"/>
        <w:ind w:firstLine="480"/>
        <w:rPr>
          <w:rFonts w:asciiTheme="minorEastAsia" w:hAnsiTheme="minorEastAsia" w:eastAsiaTheme="minorEastAsia"/>
          <w:spacing w:val="7"/>
          <w:sz w:val="22"/>
          <w:szCs w:val="26"/>
        </w:rPr>
      </w:pPr>
      <w:r>
        <w:rPr>
          <w:rFonts w:hint="eastAsia" w:asciiTheme="minorEastAsia" w:hAnsiTheme="minorEastAsia" w:eastAsiaTheme="minorEastAsia"/>
          <w:spacing w:val="7"/>
          <w:sz w:val="21"/>
        </w:rPr>
        <w:t>（五）参加政府采购活动前三年内，在经营活动中没有重大违法记录；</w:t>
      </w:r>
    </w:p>
    <w:p>
      <w:pPr>
        <w:pStyle w:val="39"/>
        <w:spacing w:before="0" w:beforeAutospacing="0" w:after="0" w:afterAutospacing="0" w:line="360" w:lineRule="auto"/>
        <w:ind w:firstLine="480"/>
        <w:rPr>
          <w:rFonts w:asciiTheme="minorEastAsia" w:hAnsiTheme="minorEastAsia" w:eastAsiaTheme="minorEastAsia"/>
          <w:spacing w:val="7"/>
          <w:sz w:val="22"/>
          <w:szCs w:val="26"/>
        </w:rPr>
      </w:pPr>
      <w:r>
        <w:rPr>
          <w:rFonts w:hint="eastAsia" w:asciiTheme="minorEastAsia" w:hAnsiTheme="minorEastAsia" w:eastAsiaTheme="minorEastAsia"/>
          <w:spacing w:val="7"/>
          <w:sz w:val="21"/>
        </w:rPr>
        <w:t>（六）法律、行政法规规定的其他条件；</w:t>
      </w:r>
    </w:p>
    <w:p>
      <w:pPr>
        <w:pStyle w:val="39"/>
        <w:spacing w:before="0" w:beforeAutospacing="0" w:after="0" w:afterAutospacing="0" w:line="360" w:lineRule="auto"/>
        <w:ind w:firstLine="480"/>
        <w:rPr>
          <w:rFonts w:asciiTheme="minorEastAsia" w:hAnsiTheme="minorEastAsia" w:eastAsiaTheme="minorEastAsia"/>
          <w:spacing w:val="7"/>
          <w:sz w:val="22"/>
          <w:szCs w:val="26"/>
        </w:rPr>
      </w:pPr>
      <w:r>
        <w:rPr>
          <w:rFonts w:hint="eastAsia" w:asciiTheme="minorEastAsia" w:hAnsiTheme="minorEastAsia" w:eastAsiaTheme="minorEastAsia"/>
          <w:spacing w:val="7"/>
          <w:sz w:val="21"/>
        </w:rPr>
        <w:t>（七）根据采购项目提出的特殊条件。</w:t>
      </w:r>
    </w:p>
    <w:p>
      <w:pPr>
        <w:pStyle w:val="39"/>
        <w:spacing w:before="0" w:beforeAutospacing="0" w:after="0" w:afterAutospacing="0" w:line="360" w:lineRule="auto"/>
        <w:ind w:firstLine="480"/>
        <w:rPr>
          <w:rFonts w:asciiTheme="minorEastAsia" w:hAnsiTheme="minorEastAsia" w:eastAsiaTheme="minorEastAsia"/>
          <w:spacing w:val="7"/>
          <w:sz w:val="22"/>
          <w:szCs w:val="26"/>
        </w:rPr>
      </w:pPr>
      <w:r>
        <w:rPr>
          <w:rFonts w:hint="eastAsia" w:asciiTheme="minorEastAsia" w:hAnsiTheme="minorEastAsia" w:eastAsiaTheme="minorEastAsia"/>
          <w:spacing w:val="7"/>
          <w:sz w:val="21"/>
        </w:rPr>
        <w:t>二、完全接受和满足本项目竞争性磋商文件中规定的实质性要求，如对竞争性磋商文件有异议，已经在提交响应文件截止时间届满前依法进行维权救济，不存在对竞争性磋商文件有异议的同时又参加采购以求侥幸成交或者为实现其他非法目的的行为。</w:t>
      </w:r>
    </w:p>
    <w:p>
      <w:pPr>
        <w:pStyle w:val="39"/>
        <w:spacing w:before="0" w:beforeAutospacing="0" w:after="0" w:afterAutospacing="0" w:line="360" w:lineRule="auto"/>
        <w:ind w:firstLine="480"/>
        <w:rPr>
          <w:rFonts w:asciiTheme="minorEastAsia" w:hAnsiTheme="minorEastAsia" w:eastAsiaTheme="minorEastAsia"/>
          <w:spacing w:val="7"/>
          <w:sz w:val="22"/>
          <w:szCs w:val="26"/>
        </w:rPr>
      </w:pPr>
      <w:r>
        <w:rPr>
          <w:rFonts w:hint="eastAsia" w:asciiTheme="minorEastAsia" w:hAnsiTheme="minorEastAsia" w:eastAsiaTheme="minorEastAsia"/>
          <w:spacing w:val="7"/>
          <w:sz w:val="21"/>
        </w:rPr>
        <w:t>三、参加本次竞争性磋商采购活动，不存在与单位负责人为同一人或者存在直接控股、管理关系的其他</w:t>
      </w:r>
      <w:r>
        <w:rPr>
          <w:rFonts w:hint="eastAsia" w:asciiTheme="minorEastAsia" w:hAnsiTheme="minorEastAsia" w:eastAsiaTheme="minorEastAsia"/>
          <w:spacing w:val="7"/>
          <w:sz w:val="21"/>
          <w:lang w:eastAsia="zh-CN"/>
        </w:rPr>
        <w:t>响应人</w:t>
      </w:r>
      <w:r>
        <w:rPr>
          <w:rFonts w:hint="eastAsia" w:asciiTheme="minorEastAsia" w:hAnsiTheme="minorEastAsia" w:eastAsiaTheme="minorEastAsia"/>
          <w:spacing w:val="7"/>
          <w:sz w:val="21"/>
        </w:rPr>
        <w:t>参与同一合同项下的政府采购活动的行为。    </w:t>
      </w:r>
    </w:p>
    <w:p>
      <w:pPr>
        <w:pStyle w:val="39"/>
        <w:spacing w:before="0" w:beforeAutospacing="0" w:after="0" w:afterAutospacing="0" w:line="360" w:lineRule="auto"/>
        <w:ind w:firstLine="480"/>
        <w:rPr>
          <w:rFonts w:asciiTheme="minorEastAsia" w:hAnsiTheme="minorEastAsia" w:eastAsiaTheme="minorEastAsia"/>
          <w:spacing w:val="7"/>
          <w:sz w:val="22"/>
          <w:szCs w:val="26"/>
        </w:rPr>
      </w:pPr>
      <w:r>
        <w:rPr>
          <w:rFonts w:hint="eastAsia" w:asciiTheme="minorEastAsia" w:hAnsiTheme="minorEastAsia" w:eastAsiaTheme="minorEastAsia"/>
          <w:spacing w:val="7"/>
          <w:sz w:val="21"/>
        </w:rPr>
        <w:t>四、参加本次竞争性磋商采购活动，不存在为采购项目提供整体设计、规范编制或者项目管理、监理、检测等服务的行为。</w:t>
      </w:r>
    </w:p>
    <w:p>
      <w:pPr>
        <w:pStyle w:val="39"/>
        <w:spacing w:before="0" w:beforeAutospacing="0" w:after="0" w:afterAutospacing="0" w:line="360" w:lineRule="auto"/>
        <w:ind w:firstLine="480"/>
        <w:rPr>
          <w:rFonts w:asciiTheme="minorEastAsia" w:hAnsiTheme="minorEastAsia" w:eastAsiaTheme="minorEastAsia"/>
          <w:spacing w:val="7"/>
          <w:sz w:val="22"/>
          <w:szCs w:val="26"/>
        </w:rPr>
      </w:pPr>
      <w:r>
        <w:rPr>
          <w:rFonts w:hint="eastAsia" w:asciiTheme="minorEastAsia" w:hAnsiTheme="minorEastAsia" w:eastAsiaTheme="minorEastAsia"/>
          <w:spacing w:val="7"/>
          <w:sz w:val="21"/>
        </w:rPr>
        <w:t>五、参加本次竞争性磋商采购活动，不存在和其他</w:t>
      </w:r>
      <w:r>
        <w:rPr>
          <w:rFonts w:hint="eastAsia" w:asciiTheme="minorEastAsia" w:hAnsiTheme="minorEastAsia" w:eastAsiaTheme="minorEastAsia"/>
          <w:spacing w:val="7"/>
          <w:sz w:val="21"/>
          <w:lang w:eastAsia="zh-CN"/>
        </w:rPr>
        <w:t>响应人</w:t>
      </w:r>
      <w:r>
        <w:rPr>
          <w:rFonts w:hint="eastAsia" w:asciiTheme="minorEastAsia" w:hAnsiTheme="minorEastAsia" w:eastAsiaTheme="minorEastAsia"/>
          <w:spacing w:val="7"/>
          <w:sz w:val="21"/>
        </w:rPr>
        <w:t>在同一合同项下的采购项目中，同时委托同一个自然人、同一家庭的人员、同一单位的人员作为代理人的行为。</w:t>
      </w:r>
    </w:p>
    <w:p>
      <w:pPr>
        <w:pStyle w:val="39"/>
        <w:spacing w:before="0" w:beforeAutospacing="0" w:after="0" w:afterAutospacing="0" w:line="360" w:lineRule="auto"/>
        <w:ind w:firstLine="480"/>
        <w:rPr>
          <w:rFonts w:asciiTheme="minorEastAsia" w:hAnsiTheme="minorEastAsia" w:eastAsiaTheme="minorEastAsia"/>
          <w:spacing w:val="7"/>
          <w:sz w:val="22"/>
          <w:szCs w:val="26"/>
        </w:rPr>
      </w:pPr>
      <w:r>
        <w:rPr>
          <w:rFonts w:hint="eastAsia" w:asciiTheme="minorEastAsia" w:hAnsiTheme="minorEastAsia" w:eastAsiaTheme="minorEastAsia"/>
          <w:spacing w:val="7"/>
          <w:sz w:val="21"/>
        </w:rPr>
        <w:t>六、</w:t>
      </w:r>
      <w:r>
        <w:rPr>
          <w:rFonts w:hint="eastAsia" w:asciiTheme="minorEastAsia" w:hAnsiTheme="minorEastAsia" w:eastAsiaTheme="minorEastAsia"/>
          <w:spacing w:val="7"/>
          <w:sz w:val="21"/>
          <w:lang w:eastAsia="zh-CN"/>
        </w:rPr>
        <w:t>响应人</w:t>
      </w:r>
      <w:r>
        <w:rPr>
          <w:rFonts w:hint="eastAsia" w:asciiTheme="minorEastAsia" w:hAnsiTheme="minorEastAsia" w:eastAsiaTheme="minorEastAsia"/>
          <w:spacing w:val="7"/>
          <w:sz w:val="21"/>
        </w:rPr>
        <w:t>参加本次政府采购活动要求在近三年内</w:t>
      </w:r>
      <w:r>
        <w:rPr>
          <w:rFonts w:hint="eastAsia" w:asciiTheme="minorEastAsia" w:hAnsiTheme="minorEastAsia" w:eastAsiaTheme="minorEastAsia"/>
          <w:spacing w:val="7"/>
          <w:sz w:val="21"/>
          <w:lang w:eastAsia="zh-CN"/>
        </w:rPr>
        <w:t>响应人</w:t>
      </w:r>
      <w:r>
        <w:rPr>
          <w:rFonts w:hint="eastAsia" w:asciiTheme="minorEastAsia" w:hAnsiTheme="minorEastAsia" w:eastAsiaTheme="minorEastAsia"/>
          <w:spacing w:val="7"/>
          <w:sz w:val="21"/>
        </w:rPr>
        <w:t>和其法定代表人没有行贿犯罪行为。</w:t>
      </w:r>
    </w:p>
    <w:p>
      <w:pPr>
        <w:pStyle w:val="39"/>
        <w:spacing w:before="0" w:beforeAutospacing="0" w:after="0" w:afterAutospacing="0" w:line="360" w:lineRule="auto"/>
        <w:ind w:firstLine="480"/>
        <w:rPr>
          <w:rFonts w:asciiTheme="minorEastAsia" w:hAnsiTheme="minorEastAsia" w:eastAsiaTheme="minorEastAsia"/>
          <w:spacing w:val="7"/>
          <w:sz w:val="22"/>
          <w:szCs w:val="26"/>
        </w:rPr>
      </w:pPr>
      <w:r>
        <w:rPr>
          <w:rFonts w:hint="eastAsia" w:asciiTheme="minorEastAsia" w:hAnsiTheme="minorEastAsia" w:eastAsiaTheme="minorEastAsia"/>
          <w:spacing w:val="7"/>
          <w:sz w:val="21"/>
        </w:rPr>
        <w:t>七、参加本次竞争性磋商采购活动，不存在联合体投标。</w:t>
      </w:r>
    </w:p>
    <w:p>
      <w:pPr>
        <w:pStyle w:val="39"/>
        <w:spacing w:before="0" w:beforeAutospacing="0" w:after="0" w:afterAutospacing="0" w:line="360" w:lineRule="auto"/>
        <w:ind w:firstLine="480"/>
        <w:rPr>
          <w:rFonts w:asciiTheme="minorEastAsia" w:hAnsiTheme="minorEastAsia" w:eastAsiaTheme="minorEastAsia"/>
          <w:spacing w:val="7"/>
          <w:sz w:val="22"/>
          <w:szCs w:val="26"/>
        </w:rPr>
      </w:pPr>
      <w:r>
        <w:rPr>
          <w:rFonts w:hint="eastAsia" w:asciiTheme="minorEastAsia" w:hAnsiTheme="minorEastAsia" w:eastAsiaTheme="minorEastAsia"/>
          <w:spacing w:val="7"/>
          <w:sz w:val="21"/>
        </w:rPr>
        <w:t>八、响应文件中提供的能够给予我公司带来优惠、好处的任何材料资料和技术、服务、商务等响应承诺情况都是真实的、有效的、合法的。</w:t>
      </w:r>
    </w:p>
    <w:p>
      <w:pPr>
        <w:pStyle w:val="39"/>
        <w:spacing w:before="0" w:beforeAutospacing="0" w:after="0" w:afterAutospacing="0" w:line="360" w:lineRule="auto"/>
        <w:jc w:val="both"/>
        <w:rPr>
          <w:rFonts w:asciiTheme="minorEastAsia" w:hAnsiTheme="minorEastAsia" w:eastAsiaTheme="minorEastAsia"/>
          <w:spacing w:val="7"/>
          <w:sz w:val="22"/>
          <w:szCs w:val="26"/>
        </w:rPr>
      </w:pPr>
      <w:r>
        <w:rPr>
          <w:rFonts w:hint="eastAsia" w:asciiTheme="minorEastAsia" w:hAnsiTheme="minorEastAsia" w:eastAsiaTheme="minorEastAsia"/>
          <w:spacing w:val="7"/>
          <w:sz w:val="21"/>
        </w:rPr>
        <w:t>    九、如本项目评标过程中需要提供样品，则我公司提供的样品即为成交后将要提供的成交产品，我公司对提供样品的性能和质量负责，因样品存在缺陷或者不符合竞争性磋商文件要求导致未能成交的，我公司愿意承担相应不利后果。（如提供样品）    </w:t>
      </w:r>
    </w:p>
    <w:p>
      <w:pPr>
        <w:pStyle w:val="39"/>
        <w:spacing w:before="0" w:beforeAutospacing="0" w:after="0" w:afterAutospacing="0" w:line="360" w:lineRule="auto"/>
        <w:jc w:val="both"/>
        <w:rPr>
          <w:rFonts w:asciiTheme="minorEastAsia" w:hAnsiTheme="minorEastAsia" w:eastAsiaTheme="minorEastAsia"/>
          <w:spacing w:val="7"/>
          <w:sz w:val="22"/>
          <w:szCs w:val="26"/>
        </w:rPr>
      </w:pPr>
      <w:r>
        <w:rPr>
          <w:rFonts w:hint="eastAsia" w:asciiTheme="minorEastAsia" w:hAnsiTheme="minorEastAsia" w:eastAsiaTheme="minorEastAsia"/>
          <w:spacing w:val="7"/>
          <w:sz w:val="21"/>
        </w:rPr>
        <w:t>    十、存在以下行为之一的愿意接受相关部门的处理：</w:t>
      </w:r>
    </w:p>
    <w:p>
      <w:pPr>
        <w:pStyle w:val="39"/>
        <w:spacing w:before="0" w:beforeAutospacing="0" w:after="0" w:afterAutospacing="0" w:line="360" w:lineRule="auto"/>
        <w:jc w:val="both"/>
        <w:rPr>
          <w:rFonts w:asciiTheme="minorEastAsia" w:hAnsiTheme="minorEastAsia" w:eastAsiaTheme="minorEastAsia"/>
          <w:spacing w:val="7"/>
          <w:sz w:val="22"/>
          <w:szCs w:val="26"/>
        </w:rPr>
      </w:pPr>
      <w:r>
        <w:rPr>
          <w:rFonts w:hint="eastAsia" w:asciiTheme="minorEastAsia" w:hAnsiTheme="minorEastAsia" w:eastAsiaTheme="minorEastAsia"/>
          <w:spacing w:val="7"/>
          <w:sz w:val="21"/>
        </w:rPr>
        <w:t>   （一）磋商有效期内撤销响应文件的；</w:t>
      </w:r>
    </w:p>
    <w:p>
      <w:pPr>
        <w:pStyle w:val="39"/>
        <w:spacing w:before="0" w:beforeAutospacing="0" w:after="0" w:afterAutospacing="0" w:line="360" w:lineRule="auto"/>
        <w:jc w:val="both"/>
        <w:rPr>
          <w:rFonts w:asciiTheme="minorEastAsia" w:hAnsiTheme="minorEastAsia" w:eastAsiaTheme="minorEastAsia"/>
          <w:spacing w:val="7"/>
          <w:sz w:val="22"/>
          <w:szCs w:val="26"/>
        </w:rPr>
      </w:pPr>
      <w:r>
        <w:rPr>
          <w:rFonts w:hint="eastAsia" w:asciiTheme="minorEastAsia" w:hAnsiTheme="minorEastAsia" w:eastAsiaTheme="minorEastAsia"/>
          <w:spacing w:val="7"/>
          <w:sz w:val="21"/>
        </w:rPr>
        <w:t>   （二）在采购人确定成交人以前放弃成交候选资格的；</w:t>
      </w:r>
    </w:p>
    <w:p>
      <w:pPr>
        <w:pStyle w:val="39"/>
        <w:spacing w:before="0" w:beforeAutospacing="0" w:after="0" w:afterAutospacing="0" w:line="360" w:lineRule="auto"/>
        <w:jc w:val="both"/>
        <w:rPr>
          <w:rFonts w:asciiTheme="minorEastAsia" w:hAnsiTheme="minorEastAsia" w:eastAsiaTheme="minorEastAsia"/>
          <w:spacing w:val="7"/>
          <w:sz w:val="22"/>
          <w:szCs w:val="26"/>
        </w:rPr>
      </w:pPr>
      <w:r>
        <w:rPr>
          <w:rFonts w:hint="eastAsia" w:asciiTheme="minorEastAsia" w:hAnsiTheme="minorEastAsia" w:eastAsiaTheme="minorEastAsia"/>
          <w:spacing w:val="7"/>
          <w:sz w:val="21"/>
        </w:rPr>
        <w:t>   （三）由于成交人的原因未能按照竞争性磋商文件的规定与采购人签订合同；</w:t>
      </w:r>
    </w:p>
    <w:p>
      <w:pPr>
        <w:pStyle w:val="39"/>
        <w:spacing w:before="0" w:beforeAutospacing="0" w:after="0" w:afterAutospacing="0" w:line="360" w:lineRule="auto"/>
        <w:jc w:val="both"/>
        <w:rPr>
          <w:rFonts w:asciiTheme="minorEastAsia" w:hAnsiTheme="minorEastAsia" w:eastAsiaTheme="minorEastAsia"/>
          <w:spacing w:val="7"/>
          <w:sz w:val="22"/>
          <w:szCs w:val="26"/>
        </w:rPr>
      </w:pPr>
      <w:r>
        <w:rPr>
          <w:rFonts w:hint="eastAsia" w:asciiTheme="minorEastAsia" w:hAnsiTheme="minorEastAsia" w:eastAsiaTheme="minorEastAsia"/>
          <w:spacing w:val="7"/>
          <w:sz w:val="21"/>
        </w:rPr>
        <w:t>   （四）由于成交人的原因未能按照竞争性磋商文件的规定交纳履约保证金；</w:t>
      </w:r>
    </w:p>
    <w:p>
      <w:pPr>
        <w:pStyle w:val="39"/>
        <w:spacing w:before="0" w:beforeAutospacing="0" w:after="0" w:afterAutospacing="0" w:line="360" w:lineRule="auto"/>
        <w:jc w:val="both"/>
        <w:rPr>
          <w:rFonts w:asciiTheme="minorEastAsia" w:hAnsiTheme="minorEastAsia" w:eastAsiaTheme="minorEastAsia"/>
          <w:spacing w:val="7"/>
          <w:sz w:val="22"/>
          <w:szCs w:val="26"/>
        </w:rPr>
      </w:pPr>
      <w:r>
        <w:rPr>
          <w:rFonts w:hint="eastAsia" w:asciiTheme="minorEastAsia" w:hAnsiTheme="minorEastAsia" w:eastAsiaTheme="minorEastAsia"/>
          <w:spacing w:val="7"/>
          <w:sz w:val="21"/>
        </w:rPr>
        <w:t>   （五）在响应文件中提供虚假材料谋取成交；</w:t>
      </w:r>
    </w:p>
    <w:p>
      <w:pPr>
        <w:pStyle w:val="39"/>
        <w:spacing w:before="0" w:beforeAutospacing="0" w:after="0" w:afterAutospacing="0" w:line="360" w:lineRule="auto"/>
        <w:jc w:val="both"/>
        <w:rPr>
          <w:rFonts w:asciiTheme="minorEastAsia" w:hAnsiTheme="minorEastAsia" w:eastAsiaTheme="minorEastAsia"/>
          <w:spacing w:val="7"/>
          <w:sz w:val="22"/>
          <w:szCs w:val="26"/>
        </w:rPr>
      </w:pPr>
      <w:r>
        <w:rPr>
          <w:rFonts w:hint="eastAsia" w:asciiTheme="minorEastAsia" w:hAnsiTheme="minorEastAsia" w:eastAsiaTheme="minorEastAsia"/>
          <w:spacing w:val="7"/>
          <w:sz w:val="21"/>
        </w:rPr>
        <w:t>   （六）与采购人、其他</w:t>
      </w:r>
      <w:r>
        <w:rPr>
          <w:rFonts w:hint="eastAsia" w:asciiTheme="minorEastAsia" w:hAnsiTheme="minorEastAsia" w:eastAsiaTheme="minorEastAsia"/>
          <w:spacing w:val="7"/>
          <w:sz w:val="21"/>
          <w:lang w:eastAsia="zh-CN"/>
        </w:rPr>
        <w:t>响应人</w:t>
      </w:r>
      <w:r>
        <w:rPr>
          <w:rFonts w:hint="eastAsia" w:asciiTheme="minorEastAsia" w:hAnsiTheme="minorEastAsia" w:eastAsiaTheme="minorEastAsia"/>
          <w:spacing w:val="7"/>
          <w:sz w:val="21"/>
        </w:rPr>
        <w:t>或者采购代理机构恶意串通的；</w:t>
      </w:r>
    </w:p>
    <w:p>
      <w:pPr>
        <w:pStyle w:val="39"/>
        <w:spacing w:before="0" w:beforeAutospacing="0" w:after="0" w:afterAutospacing="0" w:line="360" w:lineRule="auto"/>
        <w:jc w:val="both"/>
        <w:rPr>
          <w:rFonts w:asciiTheme="minorEastAsia" w:hAnsiTheme="minorEastAsia" w:eastAsiaTheme="minorEastAsia"/>
          <w:spacing w:val="7"/>
          <w:sz w:val="22"/>
          <w:szCs w:val="26"/>
        </w:rPr>
      </w:pPr>
      <w:r>
        <w:rPr>
          <w:rFonts w:hint="eastAsia" w:asciiTheme="minorEastAsia" w:hAnsiTheme="minorEastAsia" w:eastAsiaTheme="minorEastAsia"/>
          <w:spacing w:val="7"/>
          <w:sz w:val="21"/>
        </w:rPr>
        <w:t>   （七）磋商有效期内，</w:t>
      </w:r>
      <w:r>
        <w:rPr>
          <w:rFonts w:hint="eastAsia" w:asciiTheme="minorEastAsia" w:hAnsiTheme="minorEastAsia" w:eastAsiaTheme="minorEastAsia"/>
          <w:spacing w:val="7"/>
          <w:sz w:val="21"/>
          <w:lang w:eastAsia="zh-CN"/>
        </w:rPr>
        <w:t>响应人</w:t>
      </w:r>
      <w:r>
        <w:rPr>
          <w:rFonts w:hint="eastAsia" w:asciiTheme="minorEastAsia" w:hAnsiTheme="minorEastAsia" w:eastAsiaTheme="minorEastAsia"/>
          <w:spacing w:val="7"/>
          <w:sz w:val="21"/>
        </w:rPr>
        <w:t>在政府采购活动中有违法、违规、违纪行为。</w:t>
      </w:r>
    </w:p>
    <w:p>
      <w:pPr>
        <w:pStyle w:val="39"/>
        <w:spacing w:before="0" w:beforeAutospacing="0" w:after="0" w:afterAutospacing="0" w:line="360" w:lineRule="auto"/>
        <w:jc w:val="both"/>
        <w:rPr>
          <w:rFonts w:asciiTheme="minorEastAsia" w:hAnsiTheme="minorEastAsia" w:eastAsiaTheme="minorEastAsia"/>
          <w:spacing w:val="7"/>
          <w:sz w:val="22"/>
          <w:szCs w:val="26"/>
        </w:rPr>
      </w:pPr>
      <w:r>
        <w:rPr>
          <w:rFonts w:hint="eastAsia" w:asciiTheme="minorEastAsia" w:hAnsiTheme="minorEastAsia" w:eastAsiaTheme="minorEastAsia"/>
          <w:spacing w:val="7"/>
          <w:sz w:val="21"/>
        </w:rPr>
        <w:t> 由此产生的一切法律后果和责任由我公司承担。我公司声明放弃对此提出任何异议和追索的权利。</w:t>
      </w:r>
    </w:p>
    <w:p>
      <w:pPr>
        <w:pStyle w:val="39"/>
        <w:spacing w:before="0" w:beforeAutospacing="0" w:after="0" w:afterAutospacing="0" w:line="360" w:lineRule="auto"/>
        <w:ind w:firstLine="690"/>
        <w:jc w:val="both"/>
        <w:rPr>
          <w:rFonts w:asciiTheme="minorEastAsia" w:hAnsiTheme="minorEastAsia" w:eastAsiaTheme="minorEastAsia"/>
          <w:spacing w:val="7"/>
          <w:sz w:val="22"/>
          <w:szCs w:val="26"/>
        </w:rPr>
      </w:pPr>
      <w:r>
        <w:rPr>
          <w:rFonts w:hint="eastAsia" w:asciiTheme="minorEastAsia" w:hAnsiTheme="minorEastAsia" w:eastAsiaTheme="minorEastAsia"/>
          <w:spacing w:val="7"/>
          <w:sz w:val="21"/>
        </w:rPr>
        <w:t>本公司对上述承诺的内容事项真实性负责。如经查实上述承诺的内容事项存在虚假，我公司愿意接受以提供虚假材料谋取成交追究法律责任。</w:t>
      </w:r>
    </w:p>
    <w:p>
      <w:pPr>
        <w:pStyle w:val="39"/>
        <w:spacing w:before="0" w:beforeAutospacing="0" w:after="0" w:afterAutospacing="0" w:line="360" w:lineRule="auto"/>
        <w:rPr>
          <w:rFonts w:asciiTheme="minorEastAsia" w:hAnsiTheme="minorEastAsia" w:eastAsiaTheme="minorEastAsia"/>
          <w:spacing w:val="7"/>
          <w:sz w:val="26"/>
          <w:szCs w:val="26"/>
        </w:rPr>
      </w:pPr>
      <w:r>
        <w:rPr>
          <w:rFonts w:hint="eastAsia" w:asciiTheme="minorEastAsia" w:hAnsiTheme="minorEastAsia" w:eastAsiaTheme="minorEastAsia"/>
          <w:spacing w:val="7"/>
        </w:rPr>
        <w:t>       </w:t>
      </w:r>
    </w:p>
    <w:p>
      <w:pPr>
        <w:spacing w:line="360" w:lineRule="auto"/>
        <w:ind w:firstLine="420" w:firstLineChars="200"/>
        <w:rPr>
          <w:rFonts w:ascii="宋体" w:hAnsi="宋体"/>
        </w:rPr>
      </w:pPr>
      <w:r>
        <w:rPr>
          <w:rFonts w:hint="eastAsia" w:ascii="宋体" w:hAnsi="宋体"/>
          <w:lang w:eastAsia="zh-CN"/>
        </w:rPr>
        <w:t>响应人</w:t>
      </w:r>
      <w:r>
        <w:rPr>
          <w:rFonts w:ascii="宋体" w:hAnsi="宋体"/>
        </w:rPr>
        <w:t>:</w:t>
      </w:r>
      <w:r>
        <w:rPr>
          <w:szCs w:val="21"/>
        </w:rPr>
        <w:t>（</w:t>
      </w:r>
      <w:r>
        <w:rPr>
          <w:rFonts w:hint="eastAsia"/>
          <w:szCs w:val="21"/>
        </w:rPr>
        <w:t>企业电子签章或盖章</w:t>
      </w:r>
      <w:r>
        <w:rPr>
          <w:szCs w:val="21"/>
        </w:rPr>
        <w:t>）</w:t>
      </w:r>
    </w:p>
    <w:p>
      <w:pPr>
        <w:spacing w:line="360" w:lineRule="auto"/>
        <w:ind w:firstLine="420" w:firstLineChars="200"/>
        <w:rPr>
          <w:rFonts w:ascii="宋体" w:hAnsi="宋体"/>
        </w:rPr>
      </w:pPr>
      <w:r>
        <w:rPr>
          <w:rFonts w:hint="eastAsia" w:ascii="宋体" w:hAnsi="宋体"/>
          <w:lang w:eastAsia="zh-CN"/>
        </w:rPr>
        <w:t>响应人</w:t>
      </w:r>
      <w:r>
        <w:rPr>
          <w:rFonts w:hint="eastAsia" w:ascii="宋体" w:hAnsi="宋体"/>
        </w:rPr>
        <w:t>法定代表人或其授权委托人：</w:t>
      </w:r>
      <w:r>
        <w:rPr>
          <w:szCs w:val="21"/>
        </w:rPr>
        <w:t>（</w:t>
      </w:r>
      <w:r>
        <w:rPr>
          <w:rFonts w:hint="eastAsia"/>
          <w:szCs w:val="21"/>
        </w:rPr>
        <w:t>个人电子签章或盖章或签字</w:t>
      </w:r>
      <w:r>
        <w:rPr>
          <w:szCs w:val="21"/>
        </w:rPr>
        <w:t>）</w:t>
      </w:r>
    </w:p>
    <w:p>
      <w:pPr>
        <w:pStyle w:val="39"/>
        <w:spacing w:before="0" w:beforeAutospacing="0" w:after="0" w:afterAutospacing="0" w:line="360" w:lineRule="auto"/>
        <w:ind w:firstLine="480"/>
        <w:jc w:val="both"/>
        <w:rPr>
          <w:rFonts w:asciiTheme="minorEastAsia" w:hAnsiTheme="minorEastAsia" w:eastAsiaTheme="minorEastAsia"/>
          <w:spacing w:val="7"/>
          <w:sz w:val="26"/>
          <w:szCs w:val="26"/>
        </w:rPr>
      </w:pPr>
      <w:r>
        <w:rPr>
          <w:szCs w:val="21"/>
        </w:rPr>
        <w:t>年</w:t>
      </w:r>
      <w:r>
        <w:rPr>
          <w:rFonts w:hint="eastAsia"/>
          <w:szCs w:val="21"/>
        </w:rPr>
        <w:t xml:space="preserve"> </w:t>
      </w:r>
      <w:r>
        <w:rPr>
          <w:szCs w:val="21"/>
        </w:rPr>
        <w:t xml:space="preserve"> 月</w:t>
      </w:r>
      <w:r>
        <w:rPr>
          <w:rFonts w:hint="eastAsia"/>
          <w:szCs w:val="21"/>
        </w:rPr>
        <w:t xml:space="preserve"> </w:t>
      </w:r>
      <w:r>
        <w:rPr>
          <w:szCs w:val="21"/>
        </w:rPr>
        <w:t xml:space="preserve"> 日</w:t>
      </w:r>
      <w:r>
        <w:rPr>
          <w:rFonts w:hint="eastAsia" w:asciiTheme="minorEastAsia" w:hAnsiTheme="minorEastAsia" w:eastAsiaTheme="minorEastAsia"/>
          <w:spacing w:val="7"/>
        </w:rPr>
        <w:t>                </w:t>
      </w:r>
    </w:p>
    <w:p>
      <w:pPr>
        <w:pStyle w:val="39"/>
        <w:spacing w:before="0" w:beforeAutospacing="0" w:after="0" w:afterAutospacing="0" w:line="360" w:lineRule="auto"/>
        <w:ind w:firstLine="495"/>
        <w:jc w:val="both"/>
        <w:rPr>
          <w:rFonts w:asciiTheme="minorEastAsia" w:hAnsiTheme="minorEastAsia" w:eastAsiaTheme="minorEastAsia"/>
          <w:spacing w:val="7"/>
          <w:sz w:val="26"/>
          <w:szCs w:val="26"/>
        </w:rPr>
      </w:pPr>
      <w:r>
        <w:rPr>
          <w:rFonts w:hint="eastAsia" w:asciiTheme="minorEastAsia" w:hAnsiTheme="minorEastAsia" w:eastAsiaTheme="minorEastAsia"/>
        </w:rPr>
        <w:t> </w:t>
      </w:r>
    </w:p>
    <w:p>
      <w:pPr>
        <w:rPr>
          <w:rFonts w:asciiTheme="minorEastAsia" w:hAnsiTheme="minorEastAsia"/>
        </w:rPr>
      </w:pPr>
    </w:p>
    <w:p>
      <w:pPr>
        <w:widowControl/>
        <w:jc w:val="left"/>
        <w:rPr>
          <w:rFonts w:asciiTheme="minorEastAsia" w:hAnsiTheme="minorEastAsia"/>
          <w:b/>
        </w:rPr>
      </w:pPr>
      <w:r>
        <w:rPr>
          <w:rFonts w:asciiTheme="minorEastAsia" w:hAnsiTheme="minorEastAsia"/>
          <w:b/>
        </w:rPr>
        <w:br w:type="page"/>
      </w:r>
    </w:p>
    <w:p>
      <w:pPr>
        <w:pStyle w:val="7"/>
        <w:spacing w:before="0"/>
        <w:jc w:val="center"/>
      </w:pPr>
      <w:r>
        <w:rPr>
          <w:rFonts w:hint="eastAsia"/>
        </w:rPr>
        <w:t>2、采购代理服务费承诺函</w:t>
      </w:r>
    </w:p>
    <w:p>
      <w:pPr>
        <w:pStyle w:val="39"/>
        <w:spacing w:before="0" w:beforeAutospacing="0" w:after="0" w:afterAutospacing="0" w:line="360" w:lineRule="auto"/>
        <w:jc w:val="both"/>
        <w:rPr>
          <w:rFonts w:asciiTheme="minorEastAsia" w:hAnsiTheme="minorEastAsia" w:eastAsiaTheme="minorEastAsia"/>
          <w:spacing w:val="7"/>
          <w:sz w:val="22"/>
          <w:szCs w:val="26"/>
        </w:rPr>
      </w:pPr>
      <w:r>
        <w:rPr>
          <w:rFonts w:hint="eastAsia" w:asciiTheme="minorEastAsia" w:hAnsiTheme="minorEastAsia" w:eastAsiaTheme="minorEastAsia"/>
          <w:spacing w:val="7"/>
          <w:sz w:val="21"/>
        </w:rPr>
        <w:t>致（采购人及采购代理机构） ：</w:t>
      </w:r>
    </w:p>
    <w:p>
      <w:pPr>
        <w:pStyle w:val="39"/>
        <w:spacing w:before="0" w:beforeAutospacing="0" w:after="0" w:afterAutospacing="0" w:line="360" w:lineRule="auto"/>
        <w:ind w:firstLine="480"/>
        <w:jc w:val="both"/>
        <w:rPr>
          <w:rFonts w:asciiTheme="minorEastAsia" w:hAnsiTheme="minorEastAsia" w:eastAsiaTheme="minorEastAsia"/>
          <w:spacing w:val="7"/>
          <w:sz w:val="22"/>
          <w:szCs w:val="26"/>
        </w:rPr>
      </w:pPr>
      <w:r>
        <w:rPr>
          <w:rFonts w:hint="eastAsia" w:asciiTheme="minorEastAsia" w:hAnsiTheme="minorEastAsia" w:eastAsiaTheme="minorEastAsia"/>
          <w:spacing w:val="7"/>
          <w:sz w:val="21"/>
        </w:rPr>
        <w:t>我们在贵公司组织的（项目名称： ，采购代理编号：）招标中若获成交，我们保证在成交公告发布后5个工作日内，按竞争性磋商文件的规定，以银行转账或现金，向贵公司一次性支付招标代理服务费用。否则，由此产生的一切法律后果和责任由我公司承担。我公司声明放弃对此提出任何异议和追索的权利。</w:t>
      </w:r>
    </w:p>
    <w:p>
      <w:pPr>
        <w:pStyle w:val="39"/>
        <w:spacing w:before="0" w:beforeAutospacing="0" w:after="0" w:afterAutospacing="0" w:line="360" w:lineRule="auto"/>
        <w:ind w:firstLine="448" w:firstLineChars="200"/>
        <w:jc w:val="both"/>
        <w:rPr>
          <w:rFonts w:asciiTheme="minorEastAsia" w:hAnsiTheme="minorEastAsia" w:eastAsiaTheme="minorEastAsia"/>
          <w:spacing w:val="7"/>
          <w:sz w:val="22"/>
          <w:szCs w:val="26"/>
        </w:rPr>
      </w:pPr>
      <w:r>
        <w:rPr>
          <w:rFonts w:hint="eastAsia" w:asciiTheme="minorEastAsia" w:hAnsiTheme="minorEastAsia" w:eastAsiaTheme="minorEastAsia"/>
          <w:spacing w:val="7"/>
          <w:sz w:val="21"/>
        </w:rPr>
        <w:t>特此承诺。</w:t>
      </w:r>
    </w:p>
    <w:p>
      <w:pPr>
        <w:pStyle w:val="39"/>
        <w:spacing w:before="0" w:beforeAutospacing="0" w:after="0" w:afterAutospacing="0" w:line="360" w:lineRule="auto"/>
        <w:jc w:val="both"/>
        <w:rPr>
          <w:rFonts w:asciiTheme="minorEastAsia" w:hAnsiTheme="minorEastAsia" w:eastAsiaTheme="minorEastAsia"/>
          <w:spacing w:val="7"/>
          <w:sz w:val="26"/>
          <w:szCs w:val="26"/>
        </w:rPr>
      </w:pPr>
      <w:r>
        <w:rPr>
          <w:rFonts w:hint="eastAsia" w:asciiTheme="minorEastAsia" w:hAnsiTheme="minorEastAsia" w:eastAsiaTheme="minorEastAsia"/>
          <w:spacing w:val="7"/>
        </w:rPr>
        <w:t> </w:t>
      </w:r>
    </w:p>
    <w:p>
      <w:pPr>
        <w:pStyle w:val="39"/>
        <w:spacing w:before="0" w:beforeAutospacing="0" w:after="0" w:afterAutospacing="0" w:line="360" w:lineRule="auto"/>
        <w:jc w:val="both"/>
        <w:rPr>
          <w:rFonts w:asciiTheme="minorEastAsia" w:hAnsiTheme="minorEastAsia" w:eastAsiaTheme="minorEastAsia"/>
          <w:spacing w:val="7"/>
          <w:sz w:val="26"/>
          <w:szCs w:val="26"/>
        </w:rPr>
      </w:pPr>
      <w:r>
        <w:rPr>
          <w:rFonts w:hint="eastAsia" w:asciiTheme="minorEastAsia" w:hAnsiTheme="minorEastAsia" w:eastAsiaTheme="minorEastAsia"/>
          <w:spacing w:val="7"/>
        </w:rPr>
        <w:t> </w:t>
      </w:r>
    </w:p>
    <w:p>
      <w:pPr>
        <w:spacing w:line="360" w:lineRule="auto"/>
        <w:ind w:firstLine="420" w:firstLineChars="200"/>
        <w:rPr>
          <w:rFonts w:ascii="宋体" w:hAnsi="宋体"/>
        </w:rPr>
      </w:pPr>
      <w:r>
        <w:rPr>
          <w:rFonts w:hint="eastAsia" w:ascii="宋体" w:hAnsi="宋体"/>
          <w:lang w:eastAsia="zh-CN"/>
        </w:rPr>
        <w:t>响应人</w:t>
      </w:r>
      <w:r>
        <w:rPr>
          <w:rFonts w:ascii="宋体" w:hAnsi="宋体"/>
        </w:rPr>
        <w:t>:</w:t>
      </w:r>
      <w:r>
        <w:rPr>
          <w:szCs w:val="21"/>
        </w:rPr>
        <w:t>（</w:t>
      </w:r>
      <w:r>
        <w:rPr>
          <w:rFonts w:hint="eastAsia"/>
          <w:szCs w:val="21"/>
        </w:rPr>
        <w:t>企业电子签章或盖章</w:t>
      </w:r>
      <w:r>
        <w:rPr>
          <w:szCs w:val="21"/>
        </w:rPr>
        <w:t>）</w:t>
      </w:r>
    </w:p>
    <w:p>
      <w:pPr>
        <w:spacing w:line="360" w:lineRule="auto"/>
        <w:ind w:firstLine="420" w:firstLineChars="200"/>
        <w:rPr>
          <w:rFonts w:ascii="宋体" w:hAnsi="宋体"/>
        </w:rPr>
      </w:pPr>
      <w:r>
        <w:rPr>
          <w:rFonts w:hint="eastAsia" w:ascii="宋体" w:hAnsi="宋体"/>
          <w:lang w:eastAsia="zh-CN"/>
        </w:rPr>
        <w:t>响应人</w:t>
      </w:r>
      <w:r>
        <w:rPr>
          <w:rFonts w:hint="eastAsia" w:ascii="宋体" w:hAnsi="宋体"/>
        </w:rPr>
        <w:t>法定代表人或其授权委托人：</w:t>
      </w:r>
      <w:r>
        <w:rPr>
          <w:szCs w:val="21"/>
        </w:rPr>
        <w:t>（</w:t>
      </w:r>
      <w:r>
        <w:rPr>
          <w:rFonts w:hint="eastAsia"/>
          <w:szCs w:val="21"/>
        </w:rPr>
        <w:t>个人电子签章或盖章或签字</w:t>
      </w:r>
      <w:r>
        <w:rPr>
          <w:szCs w:val="21"/>
        </w:rPr>
        <w:t>）</w:t>
      </w:r>
    </w:p>
    <w:p>
      <w:pPr>
        <w:widowControl/>
        <w:ind w:firstLine="420" w:firstLineChars="200"/>
        <w:jc w:val="left"/>
      </w:pPr>
      <w:r>
        <w:rPr>
          <w:szCs w:val="21"/>
        </w:rPr>
        <w:t>年</w:t>
      </w:r>
      <w:r>
        <w:rPr>
          <w:rFonts w:hint="eastAsia"/>
          <w:szCs w:val="21"/>
        </w:rPr>
        <w:t xml:space="preserve"> </w:t>
      </w:r>
      <w:r>
        <w:rPr>
          <w:szCs w:val="21"/>
        </w:rPr>
        <w:t xml:space="preserve"> 月</w:t>
      </w:r>
      <w:r>
        <w:rPr>
          <w:rFonts w:hint="eastAsia"/>
          <w:szCs w:val="21"/>
        </w:rPr>
        <w:t xml:space="preserve"> </w:t>
      </w:r>
      <w:r>
        <w:rPr>
          <w:szCs w:val="21"/>
        </w:rPr>
        <w:t xml:space="preserve"> 日</w:t>
      </w:r>
      <w:r>
        <w:rPr>
          <w:rFonts w:hint="eastAsia" w:asciiTheme="minorEastAsia" w:hAnsiTheme="minorEastAsia"/>
          <w:spacing w:val="7"/>
        </w:rPr>
        <w:t>  </w:t>
      </w:r>
      <w:r>
        <w:t xml:space="preserve"> </w:t>
      </w:r>
      <w:r>
        <w:br w:type="page"/>
      </w:r>
    </w:p>
    <w:p>
      <w:pPr>
        <w:pStyle w:val="4"/>
        <w:rPr>
          <w:sz w:val="28"/>
        </w:rPr>
      </w:pPr>
      <w:bookmarkStart w:id="71" w:name="_Toc43371500"/>
      <w:r>
        <w:rPr>
          <w:rFonts w:hint="eastAsia"/>
          <w:sz w:val="28"/>
        </w:rPr>
        <w:t>五、已标价工程量清单</w:t>
      </w:r>
      <w:bookmarkEnd w:id="71"/>
    </w:p>
    <w:p>
      <w:pPr>
        <w:widowControl/>
        <w:jc w:val="left"/>
      </w:pPr>
      <w:r>
        <w:br w:type="page"/>
      </w:r>
    </w:p>
    <w:p>
      <w:pPr>
        <w:pStyle w:val="4"/>
        <w:rPr>
          <w:sz w:val="28"/>
        </w:rPr>
      </w:pPr>
      <w:bookmarkStart w:id="72" w:name="_Toc43371501"/>
      <w:r>
        <w:rPr>
          <w:rFonts w:hint="eastAsia"/>
          <w:sz w:val="28"/>
        </w:rPr>
        <w:t>六、施工组织设计</w:t>
      </w:r>
      <w:bookmarkEnd w:id="72"/>
    </w:p>
    <w:p>
      <w:pPr>
        <w:pStyle w:val="5"/>
        <w:spacing w:line="360" w:lineRule="auto"/>
      </w:pPr>
      <w:r>
        <w:rPr>
          <w:rFonts w:hint="eastAsia"/>
        </w:rPr>
        <w:t xml:space="preserve">1. </w:t>
      </w:r>
      <w:r>
        <w:rPr>
          <w:rFonts w:hint="eastAsia"/>
          <w:lang w:eastAsia="zh-CN"/>
        </w:rPr>
        <w:t>响应人</w:t>
      </w:r>
      <w:r>
        <w:rPr>
          <w:rFonts w:hint="eastAsia"/>
        </w:rPr>
        <w:t>编制施工组织设计的要求：编制时应简明扼要地说明施工方法，工程质量、安全生产、文明施工、环境保护、冬雨季施工、工程进度、技术组织等主要措施。用图表形式阐明本项目的施工总平面、进度计划以及拟投入主要施工设备、劳动力、项目管理机构等。</w:t>
      </w:r>
    </w:p>
    <w:p>
      <w:pPr>
        <w:pStyle w:val="5"/>
        <w:spacing w:line="360" w:lineRule="auto"/>
      </w:pPr>
      <w:r>
        <w:rPr>
          <w:rFonts w:hint="eastAsia"/>
        </w:rPr>
        <w:t>2. 图表及格式要求：</w:t>
      </w:r>
    </w:p>
    <w:p>
      <w:pPr>
        <w:pStyle w:val="5"/>
        <w:spacing w:line="360" w:lineRule="auto"/>
      </w:pPr>
      <w:r>
        <w:rPr>
          <w:rFonts w:hint="eastAsia"/>
        </w:rPr>
        <w:t>附表一拟投入的主要施工设备表</w:t>
      </w:r>
    </w:p>
    <w:p>
      <w:pPr>
        <w:pStyle w:val="5"/>
        <w:spacing w:line="360" w:lineRule="auto"/>
      </w:pPr>
      <w:r>
        <w:rPr>
          <w:rFonts w:hint="eastAsia"/>
        </w:rPr>
        <w:t>附表二劳动力计划表</w:t>
      </w:r>
    </w:p>
    <w:p>
      <w:pPr>
        <w:pStyle w:val="5"/>
        <w:spacing w:line="360" w:lineRule="auto"/>
      </w:pPr>
      <w:r>
        <w:rPr>
          <w:rFonts w:hint="eastAsia"/>
        </w:rPr>
        <w:t>附表三进度计划</w:t>
      </w:r>
    </w:p>
    <w:p>
      <w:pPr>
        <w:pStyle w:val="5"/>
        <w:spacing w:line="360" w:lineRule="auto"/>
      </w:pPr>
      <w:r>
        <w:rPr>
          <w:rFonts w:hint="eastAsia"/>
        </w:rPr>
        <w:t>附表四施工总平面图</w:t>
      </w:r>
    </w:p>
    <w:p>
      <w:pPr>
        <w:widowControl/>
        <w:jc w:val="left"/>
      </w:pPr>
      <w:r>
        <w:br w:type="page"/>
      </w:r>
    </w:p>
    <w:p>
      <w:pPr>
        <w:pStyle w:val="6"/>
        <w:rPr>
          <w:sz w:val="28"/>
        </w:rPr>
      </w:pPr>
      <w:bookmarkStart w:id="73" w:name="_Toc246997108"/>
      <w:bookmarkStart w:id="74" w:name="_Toc144974865"/>
      <w:bookmarkStart w:id="75" w:name="_Toc247085883"/>
      <w:bookmarkStart w:id="76" w:name="_Toc152045797"/>
      <w:bookmarkStart w:id="77" w:name="_Toc152042586"/>
      <w:bookmarkStart w:id="78" w:name="_Toc43371502"/>
      <w:bookmarkStart w:id="79" w:name="_Toc246996365"/>
      <w:bookmarkStart w:id="80" w:name="_Toc179632817"/>
      <w:bookmarkStart w:id="81" w:name="_Toc296602610"/>
      <w:r>
        <w:rPr>
          <w:sz w:val="28"/>
        </w:rPr>
        <w:t>附表一：拟投入本</w:t>
      </w:r>
      <w:r>
        <w:rPr>
          <w:rFonts w:hint="eastAsia"/>
          <w:sz w:val="28"/>
        </w:rPr>
        <w:t>项目</w:t>
      </w:r>
      <w:r>
        <w:rPr>
          <w:sz w:val="28"/>
        </w:rPr>
        <w:t>的主要施工设备表</w:t>
      </w:r>
      <w:bookmarkEnd w:id="73"/>
      <w:bookmarkEnd w:id="74"/>
      <w:bookmarkEnd w:id="75"/>
      <w:bookmarkEnd w:id="76"/>
      <w:bookmarkEnd w:id="77"/>
      <w:bookmarkEnd w:id="78"/>
      <w:bookmarkEnd w:id="79"/>
      <w:bookmarkEnd w:id="80"/>
      <w:bookmarkEnd w:id="81"/>
    </w:p>
    <w:tbl>
      <w:tblPr>
        <w:tblStyle w:val="45"/>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5"/>
        <w:gridCol w:w="1086"/>
        <w:gridCol w:w="761"/>
        <w:gridCol w:w="990"/>
        <w:gridCol w:w="672"/>
        <w:gridCol w:w="738"/>
        <w:gridCol w:w="1212"/>
        <w:gridCol w:w="874"/>
        <w:gridCol w:w="1055"/>
        <w:gridCol w:w="6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5" w:type="dxa"/>
            <w:vAlign w:val="center"/>
          </w:tcPr>
          <w:p>
            <w:pPr>
              <w:spacing w:line="440" w:lineRule="exact"/>
              <w:rPr>
                <w:szCs w:val="21"/>
              </w:rPr>
            </w:pPr>
            <w:r>
              <w:rPr>
                <w:szCs w:val="21"/>
              </w:rPr>
              <w:t>序号</w:t>
            </w:r>
          </w:p>
        </w:tc>
        <w:tc>
          <w:tcPr>
            <w:tcW w:w="1086" w:type="dxa"/>
            <w:vAlign w:val="center"/>
          </w:tcPr>
          <w:p>
            <w:pPr>
              <w:spacing w:line="440" w:lineRule="exact"/>
              <w:jc w:val="center"/>
              <w:rPr>
                <w:szCs w:val="21"/>
              </w:rPr>
            </w:pPr>
            <w:r>
              <w:rPr>
                <w:szCs w:val="21"/>
              </w:rPr>
              <w:t>设备名称</w:t>
            </w:r>
          </w:p>
        </w:tc>
        <w:tc>
          <w:tcPr>
            <w:tcW w:w="761" w:type="dxa"/>
            <w:vAlign w:val="center"/>
          </w:tcPr>
          <w:p>
            <w:pPr>
              <w:spacing w:line="440" w:lineRule="exact"/>
              <w:jc w:val="center"/>
              <w:rPr>
                <w:szCs w:val="21"/>
              </w:rPr>
            </w:pPr>
            <w:r>
              <w:rPr>
                <w:szCs w:val="21"/>
              </w:rPr>
              <w:t>型号</w:t>
            </w:r>
          </w:p>
          <w:p>
            <w:pPr>
              <w:spacing w:line="440" w:lineRule="exact"/>
              <w:jc w:val="center"/>
              <w:rPr>
                <w:szCs w:val="21"/>
              </w:rPr>
            </w:pPr>
            <w:r>
              <w:rPr>
                <w:szCs w:val="21"/>
              </w:rPr>
              <w:t>规格</w:t>
            </w:r>
          </w:p>
        </w:tc>
        <w:tc>
          <w:tcPr>
            <w:tcW w:w="990" w:type="dxa"/>
            <w:vAlign w:val="center"/>
          </w:tcPr>
          <w:p>
            <w:pPr>
              <w:spacing w:line="440" w:lineRule="exact"/>
              <w:jc w:val="center"/>
              <w:rPr>
                <w:szCs w:val="21"/>
              </w:rPr>
            </w:pPr>
            <w:r>
              <w:rPr>
                <w:szCs w:val="21"/>
              </w:rPr>
              <w:t>数量</w:t>
            </w:r>
          </w:p>
        </w:tc>
        <w:tc>
          <w:tcPr>
            <w:tcW w:w="672" w:type="dxa"/>
            <w:vAlign w:val="center"/>
          </w:tcPr>
          <w:p>
            <w:pPr>
              <w:spacing w:line="440" w:lineRule="exact"/>
              <w:jc w:val="center"/>
              <w:rPr>
                <w:szCs w:val="21"/>
              </w:rPr>
            </w:pPr>
            <w:r>
              <w:rPr>
                <w:szCs w:val="21"/>
              </w:rPr>
              <w:t>国别</w:t>
            </w:r>
          </w:p>
          <w:p>
            <w:pPr>
              <w:spacing w:line="440" w:lineRule="exact"/>
              <w:jc w:val="center"/>
              <w:rPr>
                <w:szCs w:val="21"/>
              </w:rPr>
            </w:pPr>
            <w:r>
              <w:rPr>
                <w:szCs w:val="21"/>
              </w:rPr>
              <w:t>产地</w:t>
            </w:r>
          </w:p>
        </w:tc>
        <w:tc>
          <w:tcPr>
            <w:tcW w:w="738" w:type="dxa"/>
            <w:vAlign w:val="center"/>
          </w:tcPr>
          <w:p>
            <w:pPr>
              <w:spacing w:line="440" w:lineRule="exact"/>
              <w:jc w:val="center"/>
              <w:rPr>
                <w:szCs w:val="21"/>
              </w:rPr>
            </w:pPr>
            <w:r>
              <w:rPr>
                <w:szCs w:val="21"/>
              </w:rPr>
              <w:t>制造</w:t>
            </w:r>
          </w:p>
          <w:p>
            <w:pPr>
              <w:spacing w:line="440" w:lineRule="exact"/>
              <w:jc w:val="center"/>
              <w:rPr>
                <w:szCs w:val="21"/>
              </w:rPr>
            </w:pPr>
            <w:r>
              <w:rPr>
                <w:szCs w:val="21"/>
              </w:rPr>
              <w:t>年份</w:t>
            </w:r>
          </w:p>
        </w:tc>
        <w:tc>
          <w:tcPr>
            <w:tcW w:w="1212" w:type="dxa"/>
            <w:vAlign w:val="center"/>
          </w:tcPr>
          <w:p>
            <w:pPr>
              <w:spacing w:line="440" w:lineRule="exact"/>
              <w:jc w:val="center"/>
              <w:rPr>
                <w:szCs w:val="21"/>
              </w:rPr>
            </w:pPr>
            <w:r>
              <w:rPr>
                <w:szCs w:val="21"/>
              </w:rPr>
              <w:t>额定功率（</w:t>
            </w:r>
            <w:r>
              <w:rPr>
                <w:rFonts w:hint="eastAsia"/>
                <w:szCs w:val="21"/>
              </w:rPr>
              <w:t>k</w:t>
            </w:r>
            <w:r>
              <w:rPr>
                <w:szCs w:val="21"/>
              </w:rPr>
              <w:t>W）</w:t>
            </w:r>
          </w:p>
        </w:tc>
        <w:tc>
          <w:tcPr>
            <w:tcW w:w="874" w:type="dxa"/>
            <w:vAlign w:val="center"/>
          </w:tcPr>
          <w:p>
            <w:pPr>
              <w:spacing w:line="440" w:lineRule="exact"/>
              <w:jc w:val="center"/>
              <w:rPr>
                <w:szCs w:val="21"/>
              </w:rPr>
            </w:pPr>
            <w:r>
              <w:rPr>
                <w:szCs w:val="21"/>
              </w:rPr>
              <w:t>生产</w:t>
            </w:r>
          </w:p>
          <w:p>
            <w:pPr>
              <w:spacing w:line="440" w:lineRule="exact"/>
              <w:jc w:val="center"/>
              <w:rPr>
                <w:szCs w:val="21"/>
              </w:rPr>
            </w:pPr>
            <w:r>
              <w:rPr>
                <w:szCs w:val="21"/>
              </w:rPr>
              <w:t>能力</w:t>
            </w:r>
          </w:p>
        </w:tc>
        <w:tc>
          <w:tcPr>
            <w:tcW w:w="1055" w:type="dxa"/>
            <w:vAlign w:val="center"/>
          </w:tcPr>
          <w:p>
            <w:pPr>
              <w:spacing w:line="440" w:lineRule="exact"/>
              <w:jc w:val="center"/>
              <w:rPr>
                <w:szCs w:val="21"/>
              </w:rPr>
            </w:pPr>
            <w:r>
              <w:rPr>
                <w:szCs w:val="21"/>
              </w:rPr>
              <w:t>用于施工部位</w:t>
            </w:r>
          </w:p>
        </w:tc>
        <w:tc>
          <w:tcPr>
            <w:tcW w:w="691" w:type="dxa"/>
            <w:vAlign w:val="center"/>
          </w:tcPr>
          <w:p>
            <w:pPr>
              <w:spacing w:line="440" w:lineRule="exact"/>
              <w:jc w:val="center"/>
              <w:rPr>
                <w:szCs w:val="21"/>
              </w:rPr>
            </w:pPr>
            <w:r>
              <w:rPr>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5" w:type="dxa"/>
            <w:vAlign w:val="center"/>
          </w:tcPr>
          <w:p>
            <w:pPr>
              <w:spacing w:line="440" w:lineRule="exact"/>
              <w:jc w:val="center"/>
              <w:rPr>
                <w:szCs w:val="21"/>
              </w:rPr>
            </w:pPr>
          </w:p>
        </w:tc>
        <w:tc>
          <w:tcPr>
            <w:tcW w:w="1086" w:type="dxa"/>
            <w:vAlign w:val="center"/>
          </w:tcPr>
          <w:p>
            <w:pPr>
              <w:spacing w:line="440" w:lineRule="exact"/>
              <w:jc w:val="center"/>
              <w:rPr>
                <w:szCs w:val="21"/>
              </w:rPr>
            </w:pPr>
          </w:p>
        </w:tc>
        <w:tc>
          <w:tcPr>
            <w:tcW w:w="761" w:type="dxa"/>
            <w:vAlign w:val="center"/>
          </w:tcPr>
          <w:p>
            <w:pPr>
              <w:spacing w:line="440" w:lineRule="exact"/>
              <w:jc w:val="center"/>
              <w:rPr>
                <w:szCs w:val="21"/>
              </w:rPr>
            </w:pPr>
          </w:p>
        </w:tc>
        <w:tc>
          <w:tcPr>
            <w:tcW w:w="990" w:type="dxa"/>
            <w:vAlign w:val="center"/>
          </w:tcPr>
          <w:p>
            <w:pPr>
              <w:spacing w:line="440" w:lineRule="exact"/>
              <w:jc w:val="center"/>
              <w:rPr>
                <w:szCs w:val="21"/>
              </w:rPr>
            </w:pPr>
          </w:p>
        </w:tc>
        <w:tc>
          <w:tcPr>
            <w:tcW w:w="672" w:type="dxa"/>
            <w:vAlign w:val="center"/>
          </w:tcPr>
          <w:p>
            <w:pPr>
              <w:spacing w:line="440" w:lineRule="exact"/>
              <w:jc w:val="center"/>
              <w:rPr>
                <w:szCs w:val="21"/>
              </w:rPr>
            </w:pPr>
          </w:p>
        </w:tc>
        <w:tc>
          <w:tcPr>
            <w:tcW w:w="738" w:type="dxa"/>
            <w:vAlign w:val="center"/>
          </w:tcPr>
          <w:p>
            <w:pPr>
              <w:spacing w:line="440" w:lineRule="exact"/>
              <w:jc w:val="center"/>
              <w:rPr>
                <w:szCs w:val="21"/>
              </w:rPr>
            </w:pPr>
          </w:p>
        </w:tc>
        <w:tc>
          <w:tcPr>
            <w:tcW w:w="1212" w:type="dxa"/>
            <w:vAlign w:val="center"/>
          </w:tcPr>
          <w:p>
            <w:pPr>
              <w:spacing w:line="440" w:lineRule="exact"/>
              <w:jc w:val="center"/>
              <w:rPr>
                <w:szCs w:val="21"/>
              </w:rPr>
            </w:pPr>
          </w:p>
        </w:tc>
        <w:tc>
          <w:tcPr>
            <w:tcW w:w="874" w:type="dxa"/>
            <w:vAlign w:val="center"/>
          </w:tcPr>
          <w:p>
            <w:pPr>
              <w:spacing w:line="440" w:lineRule="exact"/>
              <w:jc w:val="center"/>
              <w:rPr>
                <w:szCs w:val="21"/>
              </w:rPr>
            </w:pPr>
          </w:p>
        </w:tc>
        <w:tc>
          <w:tcPr>
            <w:tcW w:w="1055" w:type="dxa"/>
            <w:vAlign w:val="center"/>
          </w:tcPr>
          <w:p>
            <w:pPr>
              <w:spacing w:line="440" w:lineRule="exact"/>
              <w:jc w:val="center"/>
              <w:rPr>
                <w:szCs w:val="21"/>
              </w:rPr>
            </w:pPr>
          </w:p>
        </w:tc>
        <w:tc>
          <w:tcPr>
            <w:tcW w:w="691" w:type="dxa"/>
            <w:vAlign w:val="center"/>
          </w:tcPr>
          <w:p>
            <w:pPr>
              <w:spacing w:line="440" w:lineRule="exact"/>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5" w:type="dxa"/>
            <w:vAlign w:val="center"/>
          </w:tcPr>
          <w:p>
            <w:pPr>
              <w:spacing w:line="440" w:lineRule="exact"/>
              <w:jc w:val="center"/>
              <w:rPr>
                <w:szCs w:val="21"/>
              </w:rPr>
            </w:pPr>
          </w:p>
        </w:tc>
        <w:tc>
          <w:tcPr>
            <w:tcW w:w="1086" w:type="dxa"/>
            <w:vAlign w:val="center"/>
          </w:tcPr>
          <w:p>
            <w:pPr>
              <w:spacing w:line="440" w:lineRule="exact"/>
              <w:jc w:val="center"/>
              <w:rPr>
                <w:szCs w:val="21"/>
              </w:rPr>
            </w:pPr>
          </w:p>
        </w:tc>
        <w:tc>
          <w:tcPr>
            <w:tcW w:w="761" w:type="dxa"/>
            <w:vAlign w:val="center"/>
          </w:tcPr>
          <w:p>
            <w:pPr>
              <w:spacing w:line="440" w:lineRule="exact"/>
              <w:jc w:val="center"/>
              <w:rPr>
                <w:szCs w:val="21"/>
              </w:rPr>
            </w:pPr>
          </w:p>
        </w:tc>
        <w:tc>
          <w:tcPr>
            <w:tcW w:w="990" w:type="dxa"/>
            <w:vAlign w:val="center"/>
          </w:tcPr>
          <w:p>
            <w:pPr>
              <w:spacing w:line="440" w:lineRule="exact"/>
              <w:jc w:val="center"/>
              <w:rPr>
                <w:szCs w:val="21"/>
              </w:rPr>
            </w:pPr>
          </w:p>
        </w:tc>
        <w:tc>
          <w:tcPr>
            <w:tcW w:w="672" w:type="dxa"/>
            <w:vAlign w:val="center"/>
          </w:tcPr>
          <w:p>
            <w:pPr>
              <w:spacing w:line="440" w:lineRule="exact"/>
              <w:jc w:val="center"/>
              <w:rPr>
                <w:szCs w:val="21"/>
              </w:rPr>
            </w:pPr>
          </w:p>
        </w:tc>
        <w:tc>
          <w:tcPr>
            <w:tcW w:w="738" w:type="dxa"/>
            <w:vAlign w:val="center"/>
          </w:tcPr>
          <w:p>
            <w:pPr>
              <w:spacing w:line="440" w:lineRule="exact"/>
              <w:jc w:val="center"/>
              <w:rPr>
                <w:szCs w:val="21"/>
              </w:rPr>
            </w:pPr>
          </w:p>
        </w:tc>
        <w:tc>
          <w:tcPr>
            <w:tcW w:w="1212" w:type="dxa"/>
            <w:vAlign w:val="center"/>
          </w:tcPr>
          <w:p>
            <w:pPr>
              <w:spacing w:line="440" w:lineRule="exact"/>
              <w:jc w:val="center"/>
              <w:rPr>
                <w:szCs w:val="21"/>
              </w:rPr>
            </w:pPr>
          </w:p>
        </w:tc>
        <w:tc>
          <w:tcPr>
            <w:tcW w:w="874" w:type="dxa"/>
            <w:vAlign w:val="center"/>
          </w:tcPr>
          <w:p>
            <w:pPr>
              <w:spacing w:line="440" w:lineRule="exact"/>
              <w:jc w:val="center"/>
              <w:rPr>
                <w:szCs w:val="21"/>
              </w:rPr>
            </w:pPr>
          </w:p>
        </w:tc>
        <w:tc>
          <w:tcPr>
            <w:tcW w:w="1055" w:type="dxa"/>
            <w:vAlign w:val="center"/>
          </w:tcPr>
          <w:p>
            <w:pPr>
              <w:spacing w:line="440" w:lineRule="exact"/>
              <w:jc w:val="center"/>
              <w:rPr>
                <w:szCs w:val="21"/>
              </w:rPr>
            </w:pPr>
          </w:p>
        </w:tc>
        <w:tc>
          <w:tcPr>
            <w:tcW w:w="691" w:type="dxa"/>
            <w:vAlign w:val="center"/>
          </w:tcPr>
          <w:p>
            <w:pPr>
              <w:spacing w:line="440" w:lineRule="exact"/>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5" w:type="dxa"/>
          </w:tcPr>
          <w:p>
            <w:pPr>
              <w:spacing w:line="440" w:lineRule="exact"/>
              <w:jc w:val="center"/>
              <w:rPr>
                <w:szCs w:val="21"/>
              </w:rPr>
            </w:pPr>
          </w:p>
        </w:tc>
        <w:tc>
          <w:tcPr>
            <w:tcW w:w="1086" w:type="dxa"/>
          </w:tcPr>
          <w:p>
            <w:pPr>
              <w:spacing w:line="440" w:lineRule="exact"/>
              <w:jc w:val="center"/>
              <w:rPr>
                <w:szCs w:val="21"/>
              </w:rPr>
            </w:pPr>
          </w:p>
        </w:tc>
        <w:tc>
          <w:tcPr>
            <w:tcW w:w="761" w:type="dxa"/>
          </w:tcPr>
          <w:p>
            <w:pPr>
              <w:spacing w:line="440" w:lineRule="exact"/>
              <w:jc w:val="center"/>
              <w:rPr>
                <w:szCs w:val="21"/>
              </w:rPr>
            </w:pPr>
          </w:p>
        </w:tc>
        <w:tc>
          <w:tcPr>
            <w:tcW w:w="990" w:type="dxa"/>
          </w:tcPr>
          <w:p>
            <w:pPr>
              <w:spacing w:line="440" w:lineRule="exact"/>
              <w:jc w:val="center"/>
              <w:rPr>
                <w:szCs w:val="21"/>
              </w:rPr>
            </w:pPr>
          </w:p>
        </w:tc>
        <w:tc>
          <w:tcPr>
            <w:tcW w:w="672" w:type="dxa"/>
          </w:tcPr>
          <w:p>
            <w:pPr>
              <w:spacing w:line="440" w:lineRule="exact"/>
              <w:jc w:val="center"/>
              <w:rPr>
                <w:szCs w:val="21"/>
              </w:rPr>
            </w:pPr>
          </w:p>
        </w:tc>
        <w:tc>
          <w:tcPr>
            <w:tcW w:w="738" w:type="dxa"/>
          </w:tcPr>
          <w:p>
            <w:pPr>
              <w:spacing w:line="440" w:lineRule="exact"/>
              <w:jc w:val="center"/>
              <w:rPr>
                <w:szCs w:val="21"/>
              </w:rPr>
            </w:pPr>
          </w:p>
        </w:tc>
        <w:tc>
          <w:tcPr>
            <w:tcW w:w="1212" w:type="dxa"/>
          </w:tcPr>
          <w:p>
            <w:pPr>
              <w:spacing w:line="440" w:lineRule="exact"/>
              <w:jc w:val="center"/>
              <w:rPr>
                <w:szCs w:val="21"/>
              </w:rPr>
            </w:pPr>
          </w:p>
        </w:tc>
        <w:tc>
          <w:tcPr>
            <w:tcW w:w="874" w:type="dxa"/>
          </w:tcPr>
          <w:p>
            <w:pPr>
              <w:spacing w:line="440" w:lineRule="exact"/>
              <w:jc w:val="center"/>
              <w:rPr>
                <w:szCs w:val="21"/>
              </w:rPr>
            </w:pPr>
          </w:p>
        </w:tc>
        <w:tc>
          <w:tcPr>
            <w:tcW w:w="1055" w:type="dxa"/>
          </w:tcPr>
          <w:p>
            <w:pPr>
              <w:spacing w:line="440" w:lineRule="exact"/>
              <w:jc w:val="center"/>
              <w:rPr>
                <w:szCs w:val="21"/>
              </w:rPr>
            </w:pPr>
          </w:p>
        </w:tc>
        <w:tc>
          <w:tcPr>
            <w:tcW w:w="691" w:type="dxa"/>
          </w:tcPr>
          <w:p>
            <w:pPr>
              <w:spacing w:line="440" w:lineRule="exact"/>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5" w:type="dxa"/>
          </w:tcPr>
          <w:p>
            <w:pPr>
              <w:spacing w:line="440" w:lineRule="exact"/>
              <w:jc w:val="center"/>
              <w:rPr>
                <w:szCs w:val="21"/>
              </w:rPr>
            </w:pPr>
          </w:p>
        </w:tc>
        <w:tc>
          <w:tcPr>
            <w:tcW w:w="1086" w:type="dxa"/>
          </w:tcPr>
          <w:p>
            <w:pPr>
              <w:spacing w:line="440" w:lineRule="exact"/>
              <w:jc w:val="center"/>
              <w:rPr>
                <w:szCs w:val="21"/>
              </w:rPr>
            </w:pPr>
          </w:p>
        </w:tc>
        <w:tc>
          <w:tcPr>
            <w:tcW w:w="761" w:type="dxa"/>
          </w:tcPr>
          <w:p>
            <w:pPr>
              <w:spacing w:line="440" w:lineRule="exact"/>
              <w:jc w:val="center"/>
              <w:rPr>
                <w:szCs w:val="21"/>
              </w:rPr>
            </w:pPr>
          </w:p>
        </w:tc>
        <w:tc>
          <w:tcPr>
            <w:tcW w:w="990" w:type="dxa"/>
          </w:tcPr>
          <w:p>
            <w:pPr>
              <w:spacing w:line="440" w:lineRule="exact"/>
              <w:jc w:val="center"/>
              <w:rPr>
                <w:szCs w:val="21"/>
              </w:rPr>
            </w:pPr>
          </w:p>
        </w:tc>
        <w:tc>
          <w:tcPr>
            <w:tcW w:w="672" w:type="dxa"/>
          </w:tcPr>
          <w:p>
            <w:pPr>
              <w:spacing w:line="440" w:lineRule="exact"/>
              <w:jc w:val="center"/>
              <w:rPr>
                <w:szCs w:val="21"/>
              </w:rPr>
            </w:pPr>
          </w:p>
        </w:tc>
        <w:tc>
          <w:tcPr>
            <w:tcW w:w="738" w:type="dxa"/>
          </w:tcPr>
          <w:p>
            <w:pPr>
              <w:spacing w:line="440" w:lineRule="exact"/>
              <w:jc w:val="center"/>
              <w:rPr>
                <w:szCs w:val="21"/>
              </w:rPr>
            </w:pPr>
          </w:p>
        </w:tc>
        <w:tc>
          <w:tcPr>
            <w:tcW w:w="1212" w:type="dxa"/>
          </w:tcPr>
          <w:p>
            <w:pPr>
              <w:spacing w:line="440" w:lineRule="exact"/>
              <w:jc w:val="center"/>
              <w:rPr>
                <w:szCs w:val="21"/>
              </w:rPr>
            </w:pPr>
          </w:p>
        </w:tc>
        <w:tc>
          <w:tcPr>
            <w:tcW w:w="874" w:type="dxa"/>
          </w:tcPr>
          <w:p>
            <w:pPr>
              <w:spacing w:line="440" w:lineRule="exact"/>
              <w:jc w:val="center"/>
              <w:rPr>
                <w:szCs w:val="21"/>
              </w:rPr>
            </w:pPr>
          </w:p>
        </w:tc>
        <w:tc>
          <w:tcPr>
            <w:tcW w:w="1055" w:type="dxa"/>
          </w:tcPr>
          <w:p>
            <w:pPr>
              <w:spacing w:line="440" w:lineRule="exact"/>
              <w:jc w:val="center"/>
              <w:rPr>
                <w:szCs w:val="21"/>
              </w:rPr>
            </w:pPr>
          </w:p>
        </w:tc>
        <w:tc>
          <w:tcPr>
            <w:tcW w:w="691" w:type="dxa"/>
          </w:tcPr>
          <w:p>
            <w:pPr>
              <w:spacing w:line="440" w:lineRule="exact"/>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5" w:type="dxa"/>
          </w:tcPr>
          <w:p>
            <w:pPr>
              <w:spacing w:line="440" w:lineRule="exact"/>
              <w:jc w:val="center"/>
              <w:rPr>
                <w:szCs w:val="21"/>
              </w:rPr>
            </w:pPr>
          </w:p>
        </w:tc>
        <w:tc>
          <w:tcPr>
            <w:tcW w:w="1086" w:type="dxa"/>
          </w:tcPr>
          <w:p>
            <w:pPr>
              <w:spacing w:line="440" w:lineRule="exact"/>
              <w:jc w:val="center"/>
              <w:rPr>
                <w:szCs w:val="21"/>
              </w:rPr>
            </w:pPr>
          </w:p>
        </w:tc>
        <w:tc>
          <w:tcPr>
            <w:tcW w:w="761" w:type="dxa"/>
          </w:tcPr>
          <w:p>
            <w:pPr>
              <w:spacing w:line="440" w:lineRule="exact"/>
              <w:jc w:val="center"/>
              <w:rPr>
                <w:szCs w:val="21"/>
              </w:rPr>
            </w:pPr>
          </w:p>
        </w:tc>
        <w:tc>
          <w:tcPr>
            <w:tcW w:w="990" w:type="dxa"/>
          </w:tcPr>
          <w:p>
            <w:pPr>
              <w:spacing w:line="440" w:lineRule="exact"/>
              <w:jc w:val="center"/>
              <w:rPr>
                <w:szCs w:val="21"/>
              </w:rPr>
            </w:pPr>
          </w:p>
        </w:tc>
        <w:tc>
          <w:tcPr>
            <w:tcW w:w="672" w:type="dxa"/>
          </w:tcPr>
          <w:p>
            <w:pPr>
              <w:spacing w:line="440" w:lineRule="exact"/>
              <w:jc w:val="center"/>
              <w:rPr>
                <w:szCs w:val="21"/>
              </w:rPr>
            </w:pPr>
          </w:p>
        </w:tc>
        <w:tc>
          <w:tcPr>
            <w:tcW w:w="738" w:type="dxa"/>
          </w:tcPr>
          <w:p>
            <w:pPr>
              <w:spacing w:line="440" w:lineRule="exact"/>
              <w:jc w:val="center"/>
              <w:rPr>
                <w:szCs w:val="21"/>
              </w:rPr>
            </w:pPr>
          </w:p>
        </w:tc>
        <w:tc>
          <w:tcPr>
            <w:tcW w:w="1212" w:type="dxa"/>
          </w:tcPr>
          <w:p>
            <w:pPr>
              <w:spacing w:line="440" w:lineRule="exact"/>
              <w:jc w:val="center"/>
              <w:rPr>
                <w:szCs w:val="21"/>
              </w:rPr>
            </w:pPr>
          </w:p>
        </w:tc>
        <w:tc>
          <w:tcPr>
            <w:tcW w:w="874" w:type="dxa"/>
          </w:tcPr>
          <w:p>
            <w:pPr>
              <w:spacing w:line="440" w:lineRule="exact"/>
              <w:jc w:val="center"/>
              <w:rPr>
                <w:szCs w:val="21"/>
              </w:rPr>
            </w:pPr>
          </w:p>
        </w:tc>
        <w:tc>
          <w:tcPr>
            <w:tcW w:w="1055" w:type="dxa"/>
          </w:tcPr>
          <w:p>
            <w:pPr>
              <w:spacing w:line="440" w:lineRule="exact"/>
              <w:jc w:val="center"/>
              <w:rPr>
                <w:szCs w:val="21"/>
              </w:rPr>
            </w:pPr>
          </w:p>
        </w:tc>
        <w:tc>
          <w:tcPr>
            <w:tcW w:w="691" w:type="dxa"/>
          </w:tcPr>
          <w:p>
            <w:pPr>
              <w:spacing w:line="440" w:lineRule="exact"/>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5" w:type="dxa"/>
          </w:tcPr>
          <w:p>
            <w:pPr>
              <w:spacing w:line="440" w:lineRule="exact"/>
              <w:jc w:val="center"/>
              <w:rPr>
                <w:szCs w:val="21"/>
              </w:rPr>
            </w:pPr>
          </w:p>
        </w:tc>
        <w:tc>
          <w:tcPr>
            <w:tcW w:w="1086" w:type="dxa"/>
          </w:tcPr>
          <w:p>
            <w:pPr>
              <w:spacing w:line="440" w:lineRule="exact"/>
              <w:jc w:val="center"/>
              <w:rPr>
                <w:szCs w:val="21"/>
              </w:rPr>
            </w:pPr>
          </w:p>
        </w:tc>
        <w:tc>
          <w:tcPr>
            <w:tcW w:w="761" w:type="dxa"/>
          </w:tcPr>
          <w:p>
            <w:pPr>
              <w:spacing w:line="440" w:lineRule="exact"/>
              <w:jc w:val="center"/>
              <w:rPr>
                <w:szCs w:val="21"/>
              </w:rPr>
            </w:pPr>
          </w:p>
        </w:tc>
        <w:tc>
          <w:tcPr>
            <w:tcW w:w="990" w:type="dxa"/>
          </w:tcPr>
          <w:p>
            <w:pPr>
              <w:spacing w:line="440" w:lineRule="exact"/>
              <w:jc w:val="center"/>
              <w:rPr>
                <w:szCs w:val="21"/>
              </w:rPr>
            </w:pPr>
          </w:p>
        </w:tc>
        <w:tc>
          <w:tcPr>
            <w:tcW w:w="672" w:type="dxa"/>
          </w:tcPr>
          <w:p>
            <w:pPr>
              <w:spacing w:line="440" w:lineRule="exact"/>
              <w:jc w:val="center"/>
              <w:rPr>
                <w:szCs w:val="21"/>
              </w:rPr>
            </w:pPr>
          </w:p>
        </w:tc>
        <w:tc>
          <w:tcPr>
            <w:tcW w:w="738" w:type="dxa"/>
          </w:tcPr>
          <w:p>
            <w:pPr>
              <w:spacing w:line="440" w:lineRule="exact"/>
              <w:jc w:val="center"/>
              <w:rPr>
                <w:szCs w:val="21"/>
              </w:rPr>
            </w:pPr>
          </w:p>
        </w:tc>
        <w:tc>
          <w:tcPr>
            <w:tcW w:w="1212" w:type="dxa"/>
          </w:tcPr>
          <w:p>
            <w:pPr>
              <w:spacing w:line="440" w:lineRule="exact"/>
              <w:jc w:val="center"/>
              <w:rPr>
                <w:szCs w:val="21"/>
              </w:rPr>
            </w:pPr>
          </w:p>
        </w:tc>
        <w:tc>
          <w:tcPr>
            <w:tcW w:w="874" w:type="dxa"/>
          </w:tcPr>
          <w:p>
            <w:pPr>
              <w:spacing w:line="440" w:lineRule="exact"/>
              <w:jc w:val="center"/>
              <w:rPr>
                <w:szCs w:val="21"/>
              </w:rPr>
            </w:pPr>
          </w:p>
        </w:tc>
        <w:tc>
          <w:tcPr>
            <w:tcW w:w="1055" w:type="dxa"/>
          </w:tcPr>
          <w:p>
            <w:pPr>
              <w:spacing w:line="440" w:lineRule="exact"/>
              <w:jc w:val="center"/>
              <w:rPr>
                <w:szCs w:val="21"/>
              </w:rPr>
            </w:pPr>
          </w:p>
        </w:tc>
        <w:tc>
          <w:tcPr>
            <w:tcW w:w="691" w:type="dxa"/>
          </w:tcPr>
          <w:p>
            <w:pPr>
              <w:spacing w:line="440" w:lineRule="exact"/>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5" w:type="dxa"/>
          </w:tcPr>
          <w:p>
            <w:pPr>
              <w:spacing w:line="440" w:lineRule="exact"/>
              <w:jc w:val="center"/>
              <w:rPr>
                <w:szCs w:val="21"/>
              </w:rPr>
            </w:pPr>
          </w:p>
        </w:tc>
        <w:tc>
          <w:tcPr>
            <w:tcW w:w="1086" w:type="dxa"/>
          </w:tcPr>
          <w:p>
            <w:pPr>
              <w:spacing w:line="440" w:lineRule="exact"/>
              <w:jc w:val="center"/>
              <w:rPr>
                <w:szCs w:val="21"/>
              </w:rPr>
            </w:pPr>
          </w:p>
        </w:tc>
        <w:tc>
          <w:tcPr>
            <w:tcW w:w="761" w:type="dxa"/>
          </w:tcPr>
          <w:p>
            <w:pPr>
              <w:spacing w:line="440" w:lineRule="exact"/>
              <w:jc w:val="center"/>
              <w:rPr>
                <w:szCs w:val="21"/>
              </w:rPr>
            </w:pPr>
          </w:p>
        </w:tc>
        <w:tc>
          <w:tcPr>
            <w:tcW w:w="990" w:type="dxa"/>
          </w:tcPr>
          <w:p>
            <w:pPr>
              <w:spacing w:line="440" w:lineRule="exact"/>
              <w:jc w:val="center"/>
              <w:rPr>
                <w:szCs w:val="21"/>
              </w:rPr>
            </w:pPr>
          </w:p>
        </w:tc>
        <w:tc>
          <w:tcPr>
            <w:tcW w:w="672" w:type="dxa"/>
          </w:tcPr>
          <w:p>
            <w:pPr>
              <w:spacing w:line="440" w:lineRule="exact"/>
              <w:jc w:val="center"/>
              <w:rPr>
                <w:szCs w:val="21"/>
              </w:rPr>
            </w:pPr>
          </w:p>
        </w:tc>
        <w:tc>
          <w:tcPr>
            <w:tcW w:w="738" w:type="dxa"/>
          </w:tcPr>
          <w:p>
            <w:pPr>
              <w:spacing w:line="440" w:lineRule="exact"/>
              <w:jc w:val="center"/>
              <w:rPr>
                <w:szCs w:val="21"/>
              </w:rPr>
            </w:pPr>
          </w:p>
        </w:tc>
        <w:tc>
          <w:tcPr>
            <w:tcW w:w="1212" w:type="dxa"/>
          </w:tcPr>
          <w:p>
            <w:pPr>
              <w:spacing w:line="440" w:lineRule="exact"/>
              <w:jc w:val="center"/>
              <w:rPr>
                <w:szCs w:val="21"/>
              </w:rPr>
            </w:pPr>
          </w:p>
        </w:tc>
        <w:tc>
          <w:tcPr>
            <w:tcW w:w="874" w:type="dxa"/>
          </w:tcPr>
          <w:p>
            <w:pPr>
              <w:spacing w:line="440" w:lineRule="exact"/>
              <w:jc w:val="center"/>
              <w:rPr>
                <w:szCs w:val="21"/>
              </w:rPr>
            </w:pPr>
          </w:p>
        </w:tc>
        <w:tc>
          <w:tcPr>
            <w:tcW w:w="1055" w:type="dxa"/>
          </w:tcPr>
          <w:p>
            <w:pPr>
              <w:spacing w:line="440" w:lineRule="exact"/>
              <w:jc w:val="center"/>
              <w:rPr>
                <w:szCs w:val="21"/>
              </w:rPr>
            </w:pPr>
          </w:p>
        </w:tc>
        <w:tc>
          <w:tcPr>
            <w:tcW w:w="691" w:type="dxa"/>
          </w:tcPr>
          <w:p>
            <w:pPr>
              <w:spacing w:line="440" w:lineRule="exact"/>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5" w:type="dxa"/>
          </w:tcPr>
          <w:p>
            <w:pPr>
              <w:spacing w:line="440" w:lineRule="exact"/>
              <w:jc w:val="center"/>
              <w:rPr>
                <w:szCs w:val="21"/>
              </w:rPr>
            </w:pPr>
          </w:p>
        </w:tc>
        <w:tc>
          <w:tcPr>
            <w:tcW w:w="1086" w:type="dxa"/>
          </w:tcPr>
          <w:p>
            <w:pPr>
              <w:spacing w:line="440" w:lineRule="exact"/>
              <w:jc w:val="center"/>
              <w:rPr>
                <w:szCs w:val="21"/>
              </w:rPr>
            </w:pPr>
          </w:p>
        </w:tc>
        <w:tc>
          <w:tcPr>
            <w:tcW w:w="761" w:type="dxa"/>
          </w:tcPr>
          <w:p>
            <w:pPr>
              <w:spacing w:line="440" w:lineRule="exact"/>
              <w:jc w:val="center"/>
              <w:rPr>
                <w:szCs w:val="21"/>
              </w:rPr>
            </w:pPr>
          </w:p>
        </w:tc>
        <w:tc>
          <w:tcPr>
            <w:tcW w:w="990" w:type="dxa"/>
          </w:tcPr>
          <w:p>
            <w:pPr>
              <w:spacing w:line="440" w:lineRule="exact"/>
              <w:jc w:val="center"/>
              <w:rPr>
                <w:szCs w:val="21"/>
              </w:rPr>
            </w:pPr>
          </w:p>
        </w:tc>
        <w:tc>
          <w:tcPr>
            <w:tcW w:w="672" w:type="dxa"/>
          </w:tcPr>
          <w:p>
            <w:pPr>
              <w:spacing w:line="440" w:lineRule="exact"/>
              <w:jc w:val="center"/>
              <w:rPr>
                <w:szCs w:val="21"/>
              </w:rPr>
            </w:pPr>
          </w:p>
        </w:tc>
        <w:tc>
          <w:tcPr>
            <w:tcW w:w="738" w:type="dxa"/>
          </w:tcPr>
          <w:p>
            <w:pPr>
              <w:spacing w:line="440" w:lineRule="exact"/>
              <w:jc w:val="center"/>
              <w:rPr>
                <w:szCs w:val="21"/>
              </w:rPr>
            </w:pPr>
          </w:p>
        </w:tc>
        <w:tc>
          <w:tcPr>
            <w:tcW w:w="1212" w:type="dxa"/>
          </w:tcPr>
          <w:p>
            <w:pPr>
              <w:spacing w:line="440" w:lineRule="exact"/>
              <w:jc w:val="center"/>
              <w:rPr>
                <w:szCs w:val="21"/>
              </w:rPr>
            </w:pPr>
          </w:p>
        </w:tc>
        <w:tc>
          <w:tcPr>
            <w:tcW w:w="874" w:type="dxa"/>
          </w:tcPr>
          <w:p>
            <w:pPr>
              <w:spacing w:line="440" w:lineRule="exact"/>
              <w:jc w:val="center"/>
              <w:rPr>
                <w:szCs w:val="21"/>
              </w:rPr>
            </w:pPr>
          </w:p>
        </w:tc>
        <w:tc>
          <w:tcPr>
            <w:tcW w:w="1055" w:type="dxa"/>
          </w:tcPr>
          <w:p>
            <w:pPr>
              <w:spacing w:line="440" w:lineRule="exact"/>
              <w:jc w:val="center"/>
              <w:rPr>
                <w:szCs w:val="21"/>
              </w:rPr>
            </w:pPr>
          </w:p>
        </w:tc>
        <w:tc>
          <w:tcPr>
            <w:tcW w:w="691" w:type="dxa"/>
          </w:tcPr>
          <w:p>
            <w:pPr>
              <w:spacing w:line="440" w:lineRule="exact"/>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5" w:type="dxa"/>
          </w:tcPr>
          <w:p>
            <w:pPr>
              <w:spacing w:line="440" w:lineRule="exact"/>
              <w:jc w:val="center"/>
              <w:rPr>
                <w:szCs w:val="21"/>
              </w:rPr>
            </w:pPr>
          </w:p>
        </w:tc>
        <w:tc>
          <w:tcPr>
            <w:tcW w:w="1086" w:type="dxa"/>
          </w:tcPr>
          <w:p>
            <w:pPr>
              <w:spacing w:line="440" w:lineRule="exact"/>
              <w:jc w:val="center"/>
              <w:rPr>
                <w:szCs w:val="21"/>
              </w:rPr>
            </w:pPr>
          </w:p>
        </w:tc>
        <w:tc>
          <w:tcPr>
            <w:tcW w:w="761" w:type="dxa"/>
          </w:tcPr>
          <w:p>
            <w:pPr>
              <w:spacing w:line="440" w:lineRule="exact"/>
              <w:jc w:val="center"/>
              <w:rPr>
                <w:szCs w:val="21"/>
              </w:rPr>
            </w:pPr>
          </w:p>
        </w:tc>
        <w:tc>
          <w:tcPr>
            <w:tcW w:w="990" w:type="dxa"/>
          </w:tcPr>
          <w:p>
            <w:pPr>
              <w:spacing w:line="440" w:lineRule="exact"/>
              <w:jc w:val="center"/>
              <w:rPr>
                <w:szCs w:val="21"/>
              </w:rPr>
            </w:pPr>
          </w:p>
        </w:tc>
        <w:tc>
          <w:tcPr>
            <w:tcW w:w="672" w:type="dxa"/>
          </w:tcPr>
          <w:p>
            <w:pPr>
              <w:spacing w:line="440" w:lineRule="exact"/>
              <w:jc w:val="center"/>
              <w:rPr>
                <w:szCs w:val="21"/>
              </w:rPr>
            </w:pPr>
          </w:p>
        </w:tc>
        <w:tc>
          <w:tcPr>
            <w:tcW w:w="738" w:type="dxa"/>
          </w:tcPr>
          <w:p>
            <w:pPr>
              <w:spacing w:line="440" w:lineRule="exact"/>
              <w:jc w:val="center"/>
              <w:rPr>
                <w:szCs w:val="21"/>
              </w:rPr>
            </w:pPr>
          </w:p>
        </w:tc>
        <w:tc>
          <w:tcPr>
            <w:tcW w:w="1212" w:type="dxa"/>
          </w:tcPr>
          <w:p>
            <w:pPr>
              <w:spacing w:line="440" w:lineRule="exact"/>
              <w:jc w:val="center"/>
              <w:rPr>
                <w:szCs w:val="21"/>
              </w:rPr>
            </w:pPr>
          </w:p>
        </w:tc>
        <w:tc>
          <w:tcPr>
            <w:tcW w:w="874" w:type="dxa"/>
          </w:tcPr>
          <w:p>
            <w:pPr>
              <w:spacing w:line="440" w:lineRule="exact"/>
              <w:jc w:val="center"/>
              <w:rPr>
                <w:szCs w:val="21"/>
              </w:rPr>
            </w:pPr>
          </w:p>
        </w:tc>
        <w:tc>
          <w:tcPr>
            <w:tcW w:w="1055" w:type="dxa"/>
          </w:tcPr>
          <w:p>
            <w:pPr>
              <w:spacing w:line="440" w:lineRule="exact"/>
              <w:jc w:val="center"/>
              <w:rPr>
                <w:szCs w:val="21"/>
              </w:rPr>
            </w:pPr>
          </w:p>
        </w:tc>
        <w:tc>
          <w:tcPr>
            <w:tcW w:w="691" w:type="dxa"/>
          </w:tcPr>
          <w:p>
            <w:pPr>
              <w:spacing w:line="440" w:lineRule="exact"/>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5" w:type="dxa"/>
          </w:tcPr>
          <w:p>
            <w:pPr>
              <w:spacing w:line="440" w:lineRule="exact"/>
              <w:jc w:val="center"/>
              <w:rPr>
                <w:szCs w:val="21"/>
              </w:rPr>
            </w:pPr>
          </w:p>
        </w:tc>
        <w:tc>
          <w:tcPr>
            <w:tcW w:w="1086" w:type="dxa"/>
          </w:tcPr>
          <w:p>
            <w:pPr>
              <w:spacing w:line="440" w:lineRule="exact"/>
              <w:jc w:val="center"/>
              <w:rPr>
                <w:szCs w:val="21"/>
              </w:rPr>
            </w:pPr>
          </w:p>
        </w:tc>
        <w:tc>
          <w:tcPr>
            <w:tcW w:w="761" w:type="dxa"/>
          </w:tcPr>
          <w:p>
            <w:pPr>
              <w:spacing w:line="440" w:lineRule="exact"/>
              <w:jc w:val="center"/>
              <w:rPr>
                <w:szCs w:val="21"/>
              </w:rPr>
            </w:pPr>
          </w:p>
        </w:tc>
        <w:tc>
          <w:tcPr>
            <w:tcW w:w="990" w:type="dxa"/>
          </w:tcPr>
          <w:p>
            <w:pPr>
              <w:spacing w:line="440" w:lineRule="exact"/>
              <w:jc w:val="center"/>
              <w:rPr>
                <w:szCs w:val="21"/>
              </w:rPr>
            </w:pPr>
          </w:p>
        </w:tc>
        <w:tc>
          <w:tcPr>
            <w:tcW w:w="672" w:type="dxa"/>
          </w:tcPr>
          <w:p>
            <w:pPr>
              <w:spacing w:line="440" w:lineRule="exact"/>
              <w:jc w:val="center"/>
              <w:rPr>
                <w:szCs w:val="21"/>
              </w:rPr>
            </w:pPr>
          </w:p>
        </w:tc>
        <w:tc>
          <w:tcPr>
            <w:tcW w:w="738" w:type="dxa"/>
          </w:tcPr>
          <w:p>
            <w:pPr>
              <w:spacing w:line="440" w:lineRule="exact"/>
              <w:jc w:val="center"/>
              <w:rPr>
                <w:szCs w:val="21"/>
              </w:rPr>
            </w:pPr>
          </w:p>
        </w:tc>
        <w:tc>
          <w:tcPr>
            <w:tcW w:w="1212" w:type="dxa"/>
          </w:tcPr>
          <w:p>
            <w:pPr>
              <w:spacing w:line="440" w:lineRule="exact"/>
              <w:jc w:val="center"/>
              <w:rPr>
                <w:szCs w:val="21"/>
              </w:rPr>
            </w:pPr>
          </w:p>
        </w:tc>
        <w:tc>
          <w:tcPr>
            <w:tcW w:w="874" w:type="dxa"/>
          </w:tcPr>
          <w:p>
            <w:pPr>
              <w:spacing w:line="440" w:lineRule="exact"/>
              <w:jc w:val="center"/>
              <w:rPr>
                <w:szCs w:val="21"/>
              </w:rPr>
            </w:pPr>
          </w:p>
        </w:tc>
        <w:tc>
          <w:tcPr>
            <w:tcW w:w="1055" w:type="dxa"/>
          </w:tcPr>
          <w:p>
            <w:pPr>
              <w:spacing w:line="440" w:lineRule="exact"/>
              <w:jc w:val="center"/>
              <w:rPr>
                <w:szCs w:val="21"/>
              </w:rPr>
            </w:pPr>
          </w:p>
        </w:tc>
        <w:tc>
          <w:tcPr>
            <w:tcW w:w="691" w:type="dxa"/>
          </w:tcPr>
          <w:p>
            <w:pPr>
              <w:spacing w:line="440" w:lineRule="exact"/>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5" w:type="dxa"/>
          </w:tcPr>
          <w:p>
            <w:pPr>
              <w:spacing w:line="440" w:lineRule="exact"/>
              <w:jc w:val="center"/>
              <w:rPr>
                <w:szCs w:val="21"/>
              </w:rPr>
            </w:pPr>
          </w:p>
        </w:tc>
        <w:tc>
          <w:tcPr>
            <w:tcW w:w="1086" w:type="dxa"/>
          </w:tcPr>
          <w:p>
            <w:pPr>
              <w:spacing w:line="440" w:lineRule="exact"/>
              <w:jc w:val="center"/>
              <w:rPr>
                <w:szCs w:val="21"/>
              </w:rPr>
            </w:pPr>
          </w:p>
        </w:tc>
        <w:tc>
          <w:tcPr>
            <w:tcW w:w="761" w:type="dxa"/>
          </w:tcPr>
          <w:p>
            <w:pPr>
              <w:spacing w:line="440" w:lineRule="exact"/>
              <w:jc w:val="center"/>
              <w:rPr>
                <w:szCs w:val="21"/>
              </w:rPr>
            </w:pPr>
          </w:p>
        </w:tc>
        <w:tc>
          <w:tcPr>
            <w:tcW w:w="990" w:type="dxa"/>
          </w:tcPr>
          <w:p>
            <w:pPr>
              <w:spacing w:line="440" w:lineRule="exact"/>
              <w:jc w:val="center"/>
              <w:rPr>
                <w:szCs w:val="21"/>
              </w:rPr>
            </w:pPr>
          </w:p>
        </w:tc>
        <w:tc>
          <w:tcPr>
            <w:tcW w:w="672" w:type="dxa"/>
          </w:tcPr>
          <w:p>
            <w:pPr>
              <w:spacing w:line="440" w:lineRule="exact"/>
              <w:jc w:val="center"/>
              <w:rPr>
                <w:szCs w:val="21"/>
              </w:rPr>
            </w:pPr>
          </w:p>
        </w:tc>
        <w:tc>
          <w:tcPr>
            <w:tcW w:w="738" w:type="dxa"/>
          </w:tcPr>
          <w:p>
            <w:pPr>
              <w:spacing w:line="440" w:lineRule="exact"/>
              <w:jc w:val="center"/>
              <w:rPr>
                <w:szCs w:val="21"/>
              </w:rPr>
            </w:pPr>
          </w:p>
        </w:tc>
        <w:tc>
          <w:tcPr>
            <w:tcW w:w="1212" w:type="dxa"/>
          </w:tcPr>
          <w:p>
            <w:pPr>
              <w:spacing w:line="440" w:lineRule="exact"/>
              <w:jc w:val="center"/>
              <w:rPr>
                <w:szCs w:val="21"/>
              </w:rPr>
            </w:pPr>
          </w:p>
        </w:tc>
        <w:tc>
          <w:tcPr>
            <w:tcW w:w="874" w:type="dxa"/>
          </w:tcPr>
          <w:p>
            <w:pPr>
              <w:spacing w:line="440" w:lineRule="exact"/>
              <w:jc w:val="center"/>
              <w:rPr>
                <w:szCs w:val="21"/>
              </w:rPr>
            </w:pPr>
          </w:p>
        </w:tc>
        <w:tc>
          <w:tcPr>
            <w:tcW w:w="1055" w:type="dxa"/>
          </w:tcPr>
          <w:p>
            <w:pPr>
              <w:spacing w:line="440" w:lineRule="exact"/>
              <w:jc w:val="center"/>
              <w:rPr>
                <w:szCs w:val="21"/>
              </w:rPr>
            </w:pPr>
          </w:p>
        </w:tc>
        <w:tc>
          <w:tcPr>
            <w:tcW w:w="691" w:type="dxa"/>
          </w:tcPr>
          <w:p>
            <w:pPr>
              <w:spacing w:line="440" w:lineRule="exact"/>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5" w:type="dxa"/>
          </w:tcPr>
          <w:p>
            <w:pPr>
              <w:spacing w:line="440" w:lineRule="exact"/>
              <w:jc w:val="center"/>
              <w:rPr>
                <w:szCs w:val="21"/>
              </w:rPr>
            </w:pPr>
          </w:p>
        </w:tc>
        <w:tc>
          <w:tcPr>
            <w:tcW w:w="1086" w:type="dxa"/>
          </w:tcPr>
          <w:p>
            <w:pPr>
              <w:spacing w:line="440" w:lineRule="exact"/>
              <w:jc w:val="center"/>
              <w:rPr>
                <w:szCs w:val="21"/>
              </w:rPr>
            </w:pPr>
          </w:p>
        </w:tc>
        <w:tc>
          <w:tcPr>
            <w:tcW w:w="761" w:type="dxa"/>
          </w:tcPr>
          <w:p>
            <w:pPr>
              <w:spacing w:line="440" w:lineRule="exact"/>
              <w:jc w:val="center"/>
              <w:rPr>
                <w:szCs w:val="21"/>
              </w:rPr>
            </w:pPr>
          </w:p>
        </w:tc>
        <w:tc>
          <w:tcPr>
            <w:tcW w:w="990" w:type="dxa"/>
          </w:tcPr>
          <w:p>
            <w:pPr>
              <w:spacing w:line="440" w:lineRule="exact"/>
              <w:jc w:val="center"/>
              <w:rPr>
                <w:szCs w:val="21"/>
              </w:rPr>
            </w:pPr>
          </w:p>
        </w:tc>
        <w:tc>
          <w:tcPr>
            <w:tcW w:w="672" w:type="dxa"/>
          </w:tcPr>
          <w:p>
            <w:pPr>
              <w:spacing w:line="440" w:lineRule="exact"/>
              <w:jc w:val="center"/>
              <w:rPr>
                <w:szCs w:val="21"/>
              </w:rPr>
            </w:pPr>
          </w:p>
        </w:tc>
        <w:tc>
          <w:tcPr>
            <w:tcW w:w="738" w:type="dxa"/>
          </w:tcPr>
          <w:p>
            <w:pPr>
              <w:spacing w:line="440" w:lineRule="exact"/>
              <w:jc w:val="center"/>
              <w:rPr>
                <w:szCs w:val="21"/>
              </w:rPr>
            </w:pPr>
          </w:p>
        </w:tc>
        <w:tc>
          <w:tcPr>
            <w:tcW w:w="1212" w:type="dxa"/>
          </w:tcPr>
          <w:p>
            <w:pPr>
              <w:spacing w:line="440" w:lineRule="exact"/>
              <w:jc w:val="center"/>
              <w:rPr>
                <w:szCs w:val="21"/>
              </w:rPr>
            </w:pPr>
          </w:p>
        </w:tc>
        <w:tc>
          <w:tcPr>
            <w:tcW w:w="874" w:type="dxa"/>
          </w:tcPr>
          <w:p>
            <w:pPr>
              <w:spacing w:line="440" w:lineRule="exact"/>
              <w:jc w:val="center"/>
              <w:rPr>
                <w:szCs w:val="21"/>
              </w:rPr>
            </w:pPr>
          </w:p>
        </w:tc>
        <w:tc>
          <w:tcPr>
            <w:tcW w:w="1055" w:type="dxa"/>
          </w:tcPr>
          <w:p>
            <w:pPr>
              <w:spacing w:line="440" w:lineRule="exact"/>
              <w:jc w:val="center"/>
              <w:rPr>
                <w:szCs w:val="21"/>
              </w:rPr>
            </w:pPr>
          </w:p>
        </w:tc>
        <w:tc>
          <w:tcPr>
            <w:tcW w:w="691" w:type="dxa"/>
          </w:tcPr>
          <w:p>
            <w:pPr>
              <w:spacing w:line="440" w:lineRule="exact"/>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5" w:type="dxa"/>
          </w:tcPr>
          <w:p>
            <w:pPr>
              <w:spacing w:line="440" w:lineRule="exact"/>
              <w:jc w:val="center"/>
              <w:rPr>
                <w:szCs w:val="21"/>
              </w:rPr>
            </w:pPr>
          </w:p>
        </w:tc>
        <w:tc>
          <w:tcPr>
            <w:tcW w:w="1086" w:type="dxa"/>
          </w:tcPr>
          <w:p>
            <w:pPr>
              <w:spacing w:line="440" w:lineRule="exact"/>
              <w:jc w:val="center"/>
              <w:rPr>
                <w:szCs w:val="21"/>
              </w:rPr>
            </w:pPr>
          </w:p>
        </w:tc>
        <w:tc>
          <w:tcPr>
            <w:tcW w:w="761" w:type="dxa"/>
          </w:tcPr>
          <w:p>
            <w:pPr>
              <w:spacing w:line="440" w:lineRule="exact"/>
              <w:jc w:val="center"/>
              <w:rPr>
                <w:szCs w:val="21"/>
              </w:rPr>
            </w:pPr>
          </w:p>
        </w:tc>
        <w:tc>
          <w:tcPr>
            <w:tcW w:w="990" w:type="dxa"/>
          </w:tcPr>
          <w:p>
            <w:pPr>
              <w:spacing w:line="440" w:lineRule="exact"/>
              <w:jc w:val="center"/>
              <w:rPr>
                <w:szCs w:val="21"/>
              </w:rPr>
            </w:pPr>
          </w:p>
        </w:tc>
        <w:tc>
          <w:tcPr>
            <w:tcW w:w="672" w:type="dxa"/>
          </w:tcPr>
          <w:p>
            <w:pPr>
              <w:spacing w:line="440" w:lineRule="exact"/>
              <w:jc w:val="center"/>
              <w:rPr>
                <w:szCs w:val="21"/>
              </w:rPr>
            </w:pPr>
          </w:p>
        </w:tc>
        <w:tc>
          <w:tcPr>
            <w:tcW w:w="738" w:type="dxa"/>
          </w:tcPr>
          <w:p>
            <w:pPr>
              <w:spacing w:line="440" w:lineRule="exact"/>
              <w:jc w:val="center"/>
              <w:rPr>
                <w:szCs w:val="21"/>
              </w:rPr>
            </w:pPr>
          </w:p>
        </w:tc>
        <w:tc>
          <w:tcPr>
            <w:tcW w:w="1212" w:type="dxa"/>
          </w:tcPr>
          <w:p>
            <w:pPr>
              <w:spacing w:line="440" w:lineRule="exact"/>
              <w:jc w:val="center"/>
              <w:rPr>
                <w:szCs w:val="21"/>
              </w:rPr>
            </w:pPr>
          </w:p>
        </w:tc>
        <w:tc>
          <w:tcPr>
            <w:tcW w:w="874" w:type="dxa"/>
          </w:tcPr>
          <w:p>
            <w:pPr>
              <w:spacing w:line="440" w:lineRule="exact"/>
              <w:jc w:val="center"/>
              <w:rPr>
                <w:szCs w:val="21"/>
              </w:rPr>
            </w:pPr>
          </w:p>
        </w:tc>
        <w:tc>
          <w:tcPr>
            <w:tcW w:w="1055" w:type="dxa"/>
          </w:tcPr>
          <w:p>
            <w:pPr>
              <w:spacing w:line="440" w:lineRule="exact"/>
              <w:jc w:val="center"/>
              <w:rPr>
                <w:szCs w:val="21"/>
              </w:rPr>
            </w:pPr>
          </w:p>
        </w:tc>
        <w:tc>
          <w:tcPr>
            <w:tcW w:w="691" w:type="dxa"/>
          </w:tcPr>
          <w:p>
            <w:pPr>
              <w:spacing w:line="440" w:lineRule="exact"/>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5" w:type="dxa"/>
          </w:tcPr>
          <w:p>
            <w:pPr>
              <w:spacing w:line="440" w:lineRule="exact"/>
              <w:jc w:val="center"/>
              <w:rPr>
                <w:szCs w:val="21"/>
              </w:rPr>
            </w:pPr>
          </w:p>
        </w:tc>
        <w:tc>
          <w:tcPr>
            <w:tcW w:w="1086" w:type="dxa"/>
          </w:tcPr>
          <w:p>
            <w:pPr>
              <w:spacing w:line="440" w:lineRule="exact"/>
              <w:jc w:val="center"/>
              <w:rPr>
                <w:szCs w:val="21"/>
              </w:rPr>
            </w:pPr>
          </w:p>
        </w:tc>
        <w:tc>
          <w:tcPr>
            <w:tcW w:w="761" w:type="dxa"/>
          </w:tcPr>
          <w:p>
            <w:pPr>
              <w:spacing w:line="440" w:lineRule="exact"/>
              <w:jc w:val="center"/>
              <w:rPr>
                <w:szCs w:val="21"/>
              </w:rPr>
            </w:pPr>
          </w:p>
        </w:tc>
        <w:tc>
          <w:tcPr>
            <w:tcW w:w="990" w:type="dxa"/>
          </w:tcPr>
          <w:p>
            <w:pPr>
              <w:spacing w:line="440" w:lineRule="exact"/>
              <w:jc w:val="center"/>
              <w:rPr>
                <w:szCs w:val="21"/>
              </w:rPr>
            </w:pPr>
          </w:p>
        </w:tc>
        <w:tc>
          <w:tcPr>
            <w:tcW w:w="672" w:type="dxa"/>
          </w:tcPr>
          <w:p>
            <w:pPr>
              <w:spacing w:line="440" w:lineRule="exact"/>
              <w:jc w:val="center"/>
              <w:rPr>
                <w:szCs w:val="21"/>
              </w:rPr>
            </w:pPr>
          </w:p>
        </w:tc>
        <w:tc>
          <w:tcPr>
            <w:tcW w:w="738" w:type="dxa"/>
          </w:tcPr>
          <w:p>
            <w:pPr>
              <w:spacing w:line="440" w:lineRule="exact"/>
              <w:jc w:val="center"/>
              <w:rPr>
                <w:szCs w:val="21"/>
              </w:rPr>
            </w:pPr>
          </w:p>
        </w:tc>
        <w:tc>
          <w:tcPr>
            <w:tcW w:w="1212" w:type="dxa"/>
          </w:tcPr>
          <w:p>
            <w:pPr>
              <w:spacing w:line="440" w:lineRule="exact"/>
              <w:jc w:val="center"/>
              <w:rPr>
                <w:szCs w:val="21"/>
              </w:rPr>
            </w:pPr>
          </w:p>
        </w:tc>
        <w:tc>
          <w:tcPr>
            <w:tcW w:w="874" w:type="dxa"/>
          </w:tcPr>
          <w:p>
            <w:pPr>
              <w:spacing w:line="440" w:lineRule="exact"/>
              <w:jc w:val="center"/>
              <w:rPr>
                <w:szCs w:val="21"/>
              </w:rPr>
            </w:pPr>
          </w:p>
        </w:tc>
        <w:tc>
          <w:tcPr>
            <w:tcW w:w="1055" w:type="dxa"/>
          </w:tcPr>
          <w:p>
            <w:pPr>
              <w:spacing w:line="440" w:lineRule="exact"/>
              <w:jc w:val="center"/>
              <w:rPr>
                <w:szCs w:val="21"/>
              </w:rPr>
            </w:pPr>
          </w:p>
        </w:tc>
        <w:tc>
          <w:tcPr>
            <w:tcW w:w="691" w:type="dxa"/>
          </w:tcPr>
          <w:p>
            <w:pPr>
              <w:spacing w:line="440" w:lineRule="exact"/>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5" w:type="dxa"/>
          </w:tcPr>
          <w:p>
            <w:pPr>
              <w:spacing w:line="440" w:lineRule="exact"/>
              <w:jc w:val="center"/>
              <w:rPr>
                <w:szCs w:val="21"/>
              </w:rPr>
            </w:pPr>
          </w:p>
        </w:tc>
        <w:tc>
          <w:tcPr>
            <w:tcW w:w="1086" w:type="dxa"/>
          </w:tcPr>
          <w:p>
            <w:pPr>
              <w:spacing w:line="440" w:lineRule="exact"/>
              <w:jc w:val="center"/>
              <w:rPr>
                <w:szCs w:val="21"/>
              </w:rPr>
            </w:pPr>
          </w:p>
        </w:tc>
        <w:tc>
          <w:tcPr>
            <w:tcW w:w="761" w:type="dxa"/>
          </w:tcPr>
          <w:p>
            <w:pPr>
              <w:spacing w:line="440" w:lineRule="exact"/>
              <w:jc w:val="center"/>
              <w:rPr>
                <w:szCs w:val="21"/>
              </w:rPr>
            </w:pPr>
          </w:p>
        </w:tc>
        <w:tc>
          <w:tcPr>
            <w:tcW w:w="990" w:type="dxa"/>
          </w:tcPr>
          <w:p>
            <w:pPr>
              <w:spacing w:line="440" w:lineRule="exact"/>
              <w:jc w:val="center"/>
              <w:rPr>
                <w:szCs w:val="21"/>
              </w:rPr>
            </w:pPr>
          </w:p>
        </w:tc>
        <w:tc>
          <w:tcPr>
            <w:tcW w:w="672" w:type="dxa"/>
          </w:tcPr>
          <w:p>
            <w:pPr>
              <w:spacing w:line="440" w:lineRule="exact"/>
              <w:jc w:val="center"/>
              <w:rPr>
                <w:szCs w:val="21"/>
              </w:rPr>
            </w:pPr>
          </w:p>
        </w:tc>
        <w:tc>
          <w:tcPr>
            <w:tcW w:w="738" w:type="dxa"/>
          </w:tcPr>
          <w:p>
            <w:pPr>
              <w:spacing w:line="440" w:lineRule="exact"/>
              <w:jc w:val="center"/>
              <w:rPr>
                <w:szCs w:val="21"/>
              </w:rPr>
            </w:pPr>
          </w:p>
        </w:tc>
        <w:tc>
          <w:tcPr>
            <w:tcW w:w="1212" w:type="dxa"/>
          </w:tcPr>
          <w:p>
            <w:pPr>
              <w:spacing w:line="440" w:lineRule="exact"/>
              <w:jc w:val="center"/>
              <w:rPr>
                <w:szCs w:val="21"/>
              </w:rPr>
            </w:pPr>
          </w:p>
        </w:tc>
        <w:tc>
          <w:tcPr>
            <w:tcW w:w="874" w:type="dxa"/>
          </w:tcPr>
          <w:p>
            <w:pPr>
              <w:spacing w:line="440" w:lineRule="exact"/>
              <w:jc w:val="center"/>
              <w:rPr>
                <w:szCs w:val="21"/>
              </w:rPr>
            </w:pPr>
          </w:p>
        </w:tc>
        <w:tc>
          <w:tcPr>
            <w:tcW w:w="1055" w:type="dxa"/>
          </w:tcPr>
          <w:p>
            <w:pPr>
              <w:spacing w:line="440" w:lineRule="exact"/>
              <w:jc w:val="center"/>
              <w:rPr>
                <w:szCs w:val="21"/>
              </w:rPr>
            </w:pPr>
          </w:p>
        </w:tc>
        <w:tc>
          <w:tcPr>
            <w:tcW w:w="691" w:type="dxa"/>
          </w:tcPr>
          <w:p>
            <w:pPr>
              <w:spacing w:line="440" w:lineRule="exact"/>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5" w:type="dxa"/>
          </w:tcPr>
          <w:p>
            <w:pPr>
              <w:spacing w:line="440" w:lineRule="exact"/>
              <w:jc w:val="center"/>
              <w:rPr>
                <w:szCs w:val="21"/>
              </w:rPr>
            </w:pPr>
          </w:p>
        </w:tc>
        <w:tc>
          <w:tcPr>
            <w:tcW w:w="1086" w:type="dxa"/>
          </w:tcPr>
          <w:p>
            <w:pPr>
              <w:spacing w:line="440" w:lineRule="exact"/>
              <w:jc w:val="center"/>
              <w:rPr>
                <w:szCs w:val="21"/>
              </w:rPr>
            </w:pPr>
          </w:p>
        </w:tc>
        <w:tc>
          <w:tcPr>
            <w:tcW w:w="761" w:type="dxa"/>
          </w:tcPr>
          <w:p>
            <w:pPr>
              <w:spacing w:line="440" w:lineRule="exact"/>
              <w:jc w:val="center"/>
              <w:rPr>
                <w:szCs w:val="21"/>
              </w:rPr>
            </w:pPr>
          </w:p>
        </w:tc>
        <w:tc>
          <w:tcPr>
            <w:tcW w:w="990" w:type="dxa"/>
          </w:tcPr>
          <w:p>
            <w:pPr>
              <w:spacing w:line="440" w:lineRule="exact"/>
              <w:jc w:val="center"/>
              <w:rPr>
                <w:szCs w:val="21"/>
              </w:rPr>
            </w:pPr>
          </w:p>
        </w:tc>
        <w:tc>
          <w:tcPr>
            <w:tcW w:w="672" w:type="dxa"/>
          </w:tcPr>
          <w:p>
            <w:pPr>
              <w:spacing w:line="440" w:lineRule="exact"/>
              <w:jc w:val="center"/>
              <w:rPr>
                <w:szCs w:val="21"/>
              </w:rPr>
            </w:pPr>
          </w:p>
        </w:tc>
        <w:tc>
          <w:tcPr>
            <w:tcW w:w="738" w:type="dxa"/>
          </w:tcPr>
          <w:p>
            <w:pPr>
              <w:spacing w:line="440" w:lineRule="exact"/>
              <w:jc w:val="center"/>
              <w:rPr>
                <w:szCs w:val="21"/>
              </w:rPr>
            </w:pPr>
          </w:p>
        </w:tc>
        <w:tc>
          <w:tcPr>
            <w:tcW w:w="1212" w:type="dxa"/>
          </w:tcPr>
          <w:p>
            <w:pPr>
              <w:spacing w:line="440" w:lineRule="exact"/>
              <w:jc w:val="center"/>
              <w:rPr>
                <w:szCs w:val="21"/>
              </w:rPr>
            </w:pPr>
          </w:p>
        </w:tc>
        <w:tc>
          <w:tcPr>
            <w:tcW w:w="874" w:type="dxa"/>
          </w:tcPr>
          <w:p>
            <w:pPr>
              <w:spacing w:line="440" w:lineRule="exact"/>
              <w:jc w:val="center"/>
              <w:rPr>
                <w:szCs w:val="21"/>
              </w:rPr>
            </w:pPr>
          </w:p>
        </w:tc>
        <w:tc>
          <w:tcPr>
            <w:tcW w:w="1055" w:type="dxa"/>
          </w:tcPr>
          <w:p>
            <w:pPr>
              <w:spacing w:line="440" w:lineRule="exact"/>
              <w:jc w:val="center"/>
              <w:rPr>
                <w:szCs w:val="21"/>
              </w:rPr>
            </w:pPr>
          </w:p>
        </w:tc>
        <w:tc>
          <w:tcPr>
            <w:tcW w:w="691" w:type="dxa"/>
          </w:tcPr>
          <w:p>
            <w:pPr>
              <w:spacing w:line="440" w:lineRule="exact"/>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5" w:type="dxa"/>
          </w:tcPr>
          <w:p>
            <w:pPr>
              <w:spacing w:line="440" w:lineRule="exact"/>
              <w:jc w:val="center"/>
              <w:rPr>
                <w:szCs w:val="21"/>
              </w:rPr>
            </w:pPr>
          </w:p>
        </w:tc>
        <w:tc>
          <w:tcPr>
            <w:tcW w:w="1086" w:type="dxa"/>
          </w:tcPr>
          <w:p>
            <w:pPr>
              <w:spacing w:line="440" w:lineRule="exact"/>
              <w:jc w:val="center"/>
              <w:rPr>
                <w:szCs w:val="21"/>
              </w:rPr>
            </w:pPr>
          </w:p>
        </w:tc>
        <w:tc>
          <w:tcPr>
            <w:tcW w:w="761" w:type="dxa"/>
          </w:tcPr>
          <w:p>
            <w:pPr>
              <w:spacing w:line="440" w:lineRule="exact"/>
              <w:jc w:val="center"/>
              <w:rPr>
                <w:szCs w:val="21"/>
              </w:rPr>
            </w:pPr>
          </w:p>
        </w:tc>
        <w:tc>
          <w:tcPr>
            <w:tcW w:w="990" w:type="dxa"/>
          </w:tcPr>
          <w:p>
            <w:pPr>
              <w:spacing w:line="440" w:lineRule="exact"/>
              <w:jc w:val="center"/>
              <w:rPr>
                <w:szCs w:val="21"/>
              </w:rPr>
            </w:pPr>
          </w:p>
        </w:tc>
        <w:tc>
          <w:tcPr>
            <w:tcW w:w="672" w:type="dxa"/>
          </w:tcPr>
          <w:p>
            <w:pPr>
              <w:spacing w:line="440" w:lineRule="exact"/>
              <w:jc w:val="center"/>
              <w:rPr>
                <w:szCs w:val="21"/>
              </w:rPr>
            </w:pPr>
          </w:p>
        </w:tc>
        <w:tc>
          <w:tcPr>
            <w:tcW w:w="738" w:type="dxa"/>
          </w:tcPr>
          <w:p>
            <w:pPr>
              <w:spacing w:line="440" w:lineRule="exact"/>
              <w:jc w:val="center"/>
              <w:rPr>
                <w:szCs w:val="21"/>
              </w:rPr>
            </w:pPr>
          </w:p>
        </w:tc>
        <w:tc>
          <w:tcPr>
            <w:tcW w:w="1212" w:type="dxa"/>
          </w:tcPr>
          <w:p>
            <w:pPr>
              <w:spacing w:line="440" w:lineRule="exact"/>
              <w:jc w:val="center"/>
              <w:rPr>
                <w:szCs w:val="21"/>
              </w:rPr>
            </w:pPr>
          </w:p>
        </w:tc>
        <w:tc>
          <w:tcPr>
            <w:tcW w:w="874" w:type="dxa"/>
          </w:tcPr>
          <w:p>
            <w:pPr>
              <w:spacing w:line="440" w:lineRule="exact"/>
              <w:jc w:val="center"/>
              <w:rPr>
                <w:szCs w:val="21"/>
              </w:rPr>
            </w:pPr>
          </w:p>
        </w:tc>
        <w:tc>
          <w:tcPr>
            <w:tcW w:w="1055" w:type="dxa"/>
          </w:tcPr>
          <w:p>
            <w:pPr>
              <w:spacing w:line="440" w:lineRule="exact"/>
              <w:jc w:val="center"/>
              <w:rPr>
                <w:szCs w:val="21"/>
              </w:rPr>
            </w:pPr>
          </w:p>
        </w:tc>
        <w:tc>
          <w:tcPr>
            <w:tcW w:w="691" w:type="dxa"/>
          </w:tcPr>
          <w:p>
            <w:pPr>
              <w:spacing w:line="440" w:lineRule="exact"/>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5" w:type="dxa"/>
          </w:tcPr>
          <w:p>
            <w:pPr>
              <w:spacing w:line="440" w:lineRule="exact"/>
              <w:jc w:val="center"/>
              <w:rPr>
                <w:szCs w:val="21"/>
              </w:rPr>
            </w:pPr>
          </w:p>
        </w:tc>
        <w:tc>
          <w:tcPr>
            <w:tcW w:w="1086" w:type="dxa"/>
          </w:tcPr>
          <w:p>
            <w:pPr>
              <w:spacing w:line="440" w:lineRule="exact"/>
              <w:jc w:val="center"/>
              <w:rPr>
                <w:szCs w:val="21"/>
              </w:rPr>
            </w:pPr>
          </w:p>
        </w:tc>
        <w:tc>
          <w:tcPr>
            <w:tcW w:w="761" w:type="dxa"/>
          </w:tcPr>
          <w:p>
            <w:pPr>
              <w:spacing w:line="440" w:lineRule="exact"/>
              <w:jc w:val="center"/>
              <w:rPr>
                <w:szCs w:val="21"/>
              </w:rPr>
            </w:pPr>
          </w:p>
        </w:tc>
        <w:tc>
          <w:tcPr>
            <w:tcW w:w="990" w:type="dxa"/>
          </w:tcPr>
          <w:p>
            <w:pPr>
              <w:spacing w:line="440" w:lineRule="exact"/>
              <w:jc w:val="center"/>
              <w:rPr>
                <w:szCs w:val="21"/>
              </w:rPr>
            </w:pPr>
          </w:p>
        </w:tc>
        <w:tc>
          <w:tcPr>
            <w:tcW w:w="672" w:type="dxa"/>
          </w:tcPr>
          <w:p>
            <w:pPr>
              <w:spacing w:line="440" w:lineRule="exact"/>
              <w:jc w:val="center"/>
              <w:rPr>
                <w:szCs w:val="21"/>
              </w:rPr>
            </w:pPr>
          </w:p>
        </w:tc>
        <w:tc>
          <w:tcPr>
            <w:tcW w:w="738" w:type="dxa"/>
          </w:tcPr>
          <w:p>
            <w:pPr>
              <w:spacing w:line="440" w:lineRule="exact"/>
              <w:jc w:val="center"/>
              <w:rPr>
                <w:szCs w:val="21"/>
              </w:rPr>
            </w:pPr>
          </w:p>
        </w:tc>
        <w:tc>
          <w:tcPr>
            <w:tcW w:w="1212" w:type="dxa"/>
          </w:tcPr>
          <w:p>
            <w:pPr>
              <w:spacing w:line="440" w:lineRule="exact"/>
              <w:jc w:val="center"/>
              <w:rPr>
                <w:szCs w:val="21"/>
              </w:rPr>
            </w:pPr>
          </w:p>
        </w:tc>
        <w:tc>
          <w:tcPr>
            <w:tcW w:w="874" w:type="dxa"/>
          </w:tcPr>
          <w:p>
            <w:pPr>
              <w:spacing w:line="440" w:lineRule="exact"/>
              <w:jc w:val="center"/>
              <w:rPr>
                <w:szCs w:val="21"/>
              </w:rPr>
            </w:pPr>
          </w:p>
        </w:tc>
        <w:tc>
          <w:tcPr>
            <w:tcW w:w="1055" w:type="dxa"/>
          </w:tcPr>
          <w:p>
            <w:pPr>
              <w:spacing w:line="440" w:lineRule="exact"/>
              <w:jc w:val="center"/>
              <w:rPr>
                <w:szCs w:val="21"/>
              </w:rPr>
            </w:pPr>
          </w:p>
        </w:tc>
        <w:tc>
          <w:tcPr>
            <w:tcW w:w="691" w:type="dxa"/>
          </w:tcPr>
          <w:p>
            <w:pPr>
              <w:spacing w:line="440" w:lineRule="exact"/>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5" w:type="dxa"/>
          </w:tcPr>
          <w:p>
            <w:pPr>
              <w:spacing w:line="440" w:lineRule="exact"/>
              <w:jc w:val="center"/>
              <w:rPr>
                <w:szCs w:val="21"/>
              </w:rPr>
            </w:pPr>
          </w:p>
        </w:tc>
        <w:tc>
          <w:tcPr>
            <w:tcW w:w="1086" w:type="dxa"/>
          </w:tcPr>
          <w:p>
            <w:pPr>
              <w:spacing w:line="440" w:lineRule="exact"/>
              <w:jc w:val="center"/>
              <w:rPr>
                <w:szCs w:val="21"/>
              </w:rPr>
            </w:pPr>
          </w:p>
        </w:tc>
        <w:tc>
          <w:tcPr>
            <w:tcW w:w="761" w:type="dxa"/>
          </w:tcPr>
          <w:p>
            <w:pPr>
              <w:spacing w:line="440" w:lineRule="exact"/>
              <w:jc w:val="center"/>
              <w:rPr>
                <w:szCs w:val="21"/>
              </w:rPr>
            </w:pPr>
          </w:p>
        </w:tc>
        <w:tc>
          <w:tcPr>
            <w:tcW w:w="990" w:type="dxa"/>
          </w:tcPr>
          <w:p>
            <w:pPr>
              <w:spacing w:line="440" w:lineRule="exact"/>
              <w:jc w:val="center"/>
              <w:rPr>
                <w:szCs w:val="21"/>
              </w:rPr>
            </w:pPr>
          </w:p>
        </w:tc>
        <w:tc>
          <w:tcPr>
            <w:tcW w:w="672" w:type="dxa"/>
          </w:tcPr>
          <w:p>
            <w:pPr>
              <w:spacing w:line="440" w:lineRule="exact"/>
              <w:jc w:val="center"/>
              <w:rPr>
                <w:szCs w:val="21"/>
              </w:rPr>
            </w:pPr>
          </w:p>
        </w:tc>
        <w:tc>
          <w:tcPr>
            <w:tcW w:w="738" w:type="dxa"/>
          </w:tcPr>
          <w:p>
            <w:pPr>
              <w:spacing w:line="440" w:lineRule="exact"/>
              <w:jc w:val="center"/>
              <w:rPr>
                <w:szCs w:val="21"/>
              </w:rPr>
            </w:pPr>
          </w:p>
        </w:tc>
        <w:tc>
          <w:tcPr>
            <w:tcW w:w="1212" w:type="dxa"/>
          </w:tcPr>
          <w:p>
            <w:pPr>
              <w:spacing w:line="440" w:lineRule="exact"/>
              <w:jc w:val="center"/>
              <w:rPr>
                <w:szCs w:val="21"/>
              </w:rPr>
            </w:pPr>
          </w:p>
        </w:tc>
        <w:tc>
          <w:tcPr>
            <w:tcW w:w="874" w:type="dxa"/>
          </w:tcPr>
          <w:p>
            <w:pPr>
              <w:spacing w:line="440" w:lineRule="exact"/>
              <w:jc w:val="center"/>
              <w:rPr>
                <w:szCs w:val="21"/>
              </w:rPr>
            </w:pPr>
          </w:p>
        </w:tc>
        <w:tc>
          <w:tcPr>
            <w:tcW w:w="1055" w:type="dxa"/>
          </w:tcPr>
          <w:p>
            <w:pPr>
              <w:spacing w:line="440" w:lineRule="exact"/>
              <w:jc w:val="center"/>
              <w:rPr>
                <w:szCs w:val="21"/>
              </w:rPr>
            </w:pPr>
          </w:p>
        </w:tc>
        <w:tc>
          <w:tcPr>
            <w:tcW w:w="691" w:type="dxa"/>
          </w:tcPr>
          <w:p>
            <w:pPr>
              <w:spacing w:line="440" w:lineRule="exact"/>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5" w:type="dxa"/>
          </w:tcPr>
          <w:p>
            <w:pPr>
              <w:spacing w:line="440" w:lineRule="exact"/>
              <w:jc w:val="center"/>
              <w:rPr>
                <w:szCs w:val="21"/>
              </w:rPr>
            </w:pPr>
          </w:p>
        </w:tc>
        <w:tc>
          <w:tcPr>
            <w:tcW w:w="1086" w:type="dxa"/>
          </w:tcPr>
          <w:p>
            <w:pPr>
              <w:spacing w:line="440" w:lineRule="exact"/>
              <w:jc w:val="center"/>
              <w:rPr>
                <w:szCs w:val="21"/>
              </w:rPr>
            </w:pPr>
          </w:p>
        </w:tc>
        <w:tc>
          <w:tcPr>
            <w:tcW w:w="761" w:type="dxa"/>
          </w:tcPr>
          <w:p>
            <w:pPr>
              <w:spacing w:line="440" w:lineRule="exact"/>
              <w:jc w:val="center"/>
              <w:rPr>
                <w:szCs w:val="21"/>
              </w:rPr>
            </w:pPr>
          </w:p>
        </w:tc>
        <w:tc>
          <w:tcPr>
            <w:tcW w:w="990" w:type="dxa"/>
          </w:tcPr>
          <w:p>
            <w:pPr>
              <w:spacing w:line="440" w:lineRule="exact"/>
              <w:jc w:val="center"/>
              <w:rPr>
                <w:szCs w:val="21"/>
              </w:rPr>
            </w:pPr>
          </w:p>
        </w:tc>
        <w:tc>
          <w:tcPr>
            <w:tcW w:w="672" w:type="dxa"/>
          </w:tcPr>
          <w:p>
            <w:pPr>
              <w:spacing w:line="440" w:lineRule="exact"/>
              <w:jc w:val="center"/>
              <w:rPr>
                <w:szCs w:val="21"/>
              </w:rPr>
            </w:pPr>
          </w:p>
        </w:tc>
        <w:tc>
          <w:tcPr>
            <w:tcW w:w="738" w:type="dxa"/>
          </w:tcPr>
          <w:p>
            <w:pPr>
              <w:spacing w:line="440" w:lineRule="exact"/>
              <w:jc w:val="center"/>
              <w:rPr>
                <w:szCs w:val="21"/>
              </w:rPr>
            </w:pPr>
          </w:p>
        </w:tc>
        <w:tc>
          <w:tcPr>
            <w:tcW w:w="1212" w:type="dxa"/>
          </w:tcPr>
          <w:p>
            <w:pPr>
              <w:spacing w:line="440" w:lineRule="exact"/>
              <w:jc w:val="center"/>
              <w:rPr>
                <w:szCs w:val="21"/>
              </w:rPr>
            </w:pPr>
          </w:p>
        </w:tc>
        <w:tc>
          <w:tcPr>
            <w:tcW w:w="874" w:type="dxa"/>
          </w:tcPr>
          <w:p>
            <w:pPr>
              <w:spacing w:line="440" w:lineRule="exact"/>
              <w:jc w:val="center"/>
              <w:rPr>
                <w:szCs w:val="21"/>
              </w:rPr>
            </w:pPr>
          </w:p>
        </w:tc>
        <w:tc>
          <w:tcPr>
            <w:tcW w:w="1055" w:type="dxa"/>
          </w:tcPr>
          <w:p>
            <w:pPr>
              <w:spacing w:line="440" w:lineRule="exact"/>
              <w:jc w:val="center"/>
              <w:rPr>
                <w:szCs w:val="21"/>
              </w:rPr>
            </w:pPr>
          </w:p>
        </w:tc>
        <w:tc>
          <w:tcPr>
            <w:tcW w:w="691" w:type="dxa"/>
          </w:tcPr>
          <w:p>
            <w:pPr>
              <w:spacing w:line="440" w:lineRule="exact"/>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5" w:type="dxa"/>
          </w:tcPr>
          <w:p>
            <w:pPr>
              <w:spacing w:line="440" w:lineRule="exact"/>
              <w:jc w:val="center"/>
              <w:rPr>
                <w:szCs w:val="21"/>
              </w:rPr>
            </w:pPr>
          </w:p>
        </w:tc>
        <w:tc>
          <w:tcPr>
            <w:tcW w:w="1086" w:type="dxa"/>
          </w:tcPr>
          <w:p>
            <w:pPr>
              <w:spacing w:line="440" w:lineRule="exact"/>
              <w:jc w:val="center"/>
              <w:rPr>
                <w:szCs w:val="21"/>
              </w:rPr>
            </w:pPr>
          </w:p>
        </w:tc>
        <w:tc>
          <w:tcPr>
            <w:tcW w:w="761" w:type="dxa"/>
          </w:tcPr>
          <w:p>
            <w:pPr>
              <w:spacing w:line="440" w:lineRule="exact"/>
              <w:jc w:val="center"/>
              <w:rPr>
                <w:szCs w:val="21"/>
              </w:rPr>
            </w:pPr>
          </w:p>
        </w:tc>
        <w:tc>
          <w:tcPr>
            <w:tcW w:w="990" w:type="dxa"/>
          </w:tcPr>
          <w:p>
            <w:pPr>
              <w:spacing w:line="440" w:lineRule="exact"/>
              <w:jc w:val="center"/>
              <w:rPr>
                <w:szCs w:val="21"/>
              </w:rPr>
            </w:pPr>
          </w:p>
        </w:tc>
        <w:tc>
          <w:tcPr>
            <w:tcW w:w="672" w:type="dxa"/>
          </w:tcPr>
          <w:p>
            <w:pPr>
              <w:spacing w:line="440" w:lineRule="exact"/>
              <w:jc w:val="center"/>
              <w:rPr>
                <w:szCs w:val="21"/>
              </w:rPr>
            </w:pPr>
          </w:p>
        </w:tc>
        <w:tc>
          <w:tcPr>
            <w:tcW w:w="738" w:type="dxa"/>
          </w:tcPr>
          <w:p>
            <w:pPr>
              <w:spacing w:line="440" w:lineRule="exact"/>
              <w:jc w:val="center"/>
              <w:rPr>
                <w:szCs w:val="21"/>
              </w:rPr>
            </w:pPr>
          </w:p>
        </w:tc>
        <w:tc>
          <w:tcPr>
            <w:tcW w:w="1212" w:type="dxa"/>
          </w:tcPr>
          <w:p>
            <w:pPr>
              <w:spacing w:line="440" w:lineRule="exact"/>
              <w:jc w:val="center"/>
              <w:rPr>
                <w:szCs w:val="21"/>
              </w:rPr>
            </w:pPr>
          </w:p>
        </w:tc>
        <w:tc>
          <w:tcPr>
            <w:tcW w:w="874" w:type="dxa"/>
          </w:tcPr>
          <w:p>
            <w:pPr>
              <w:spacing w:line="440" w:lineRule="exact"/>
              <w:jc w:val="center"/>
              <w:rPr>
                <w:szCs w:val="21"/>
              </w:rPr>
            </w:pPr>
          </w:p>
        </w:tc>
        <w:tc>
          <w:tcPr>
            <w:tcW w:w="1055" w:type="dxa"/>
          </w:tcPr>
          <w:p>
            <w:pPr>
              <w:spacing w:line="440" w:lineRule="exact"/>
              <w:jc w:val="center"/>
              <w:rPr>
                <w:szCs w:val="21"/>
              </w:rPr>
            </w:pPr>
          </w:p>
        </w:tc>
        <w:tc>
          <w:tcPr>
            <w:tcW w:w="691" w:type="dxa"/>
          </w:tcPr>
          <w:p>
            <w:pPr>
              <w:spacing w:line="440" w:lineRule="exact"/>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5" w:type="dxa"/>
          </w:tcPr>
          <w:p>
            <w:pPr>
              <w:spacing w:line="440" w:lineRule="exact"/>
              <w:jc w:val="center"/>
              <w:rPr>
                <w:szCs w:val="21"/>
              </w:rPr>
            </w:pPr>
          </w:p>
        </w:tc>
        <w:tc>
          <w:tcPr>
            <w:tcW w:w="1086" w:type="dxa"/>
          </w:tcPr>
          <w:p>
            <w:pPr>
              <w:spacing w:line="440" w:lineRule="exact"/>
              <w:jc w:val="center"/>
              <w:rPr>
                <w:szCs w:val="21"/>
              </w:rPr>
            </w:pPr>
          </w:p>
        </w:tc>
        <w:tc>
          <w:tcPr>
            <w:tcW w:w="761" w:type="dxa"/>
          </w:tcPr>
          <w:p>
            <w:pPr>
              <w:spacing w:line="440" w:lineRule="exact"/>
              <w:jc w:val="center"/>
              <w:rPr>
                <w:szCs w:val="21"/>
              </w:rPr>
            </w:pPr>
          </w:p>
        </w:tc>
        <w:tc>
          <w:tcPr>
            <w:tcW w:w="990" w:type="dxa"/>
          </w:tcPr>
          <w:p>
            <w:pPr>
              <w:spacing w:line="440" w:lineRule="exact"/>
              <w:jc w:val="center"/>
              <w:rPr>
                <w:szCs w:val="21"/>
              </w:rPr>
            </w:pPr>
          </w:p>
        </w:tc>
        <w:tc>
          <w:tcPr>
            <w:tcW w:w="672" w:type="dxa"/>
          </w:tcPr>
          <w:p>
            <w:pPr>
              <w:spacing w:line="440" w:lineRule="exact"/>
              <w:jc w:val="center"/>
              <w:rPr>
                <w:szCs w:val="21"/>
              </w:rPr>
            </w:pPr>
          </w:p>
        </w:tc>
        <w:tc>
          <w:tcPr>
            <w:tcW w:w="738" w:type="dxa"/>
          </w:tcPr>
          <w:p>
            <w:pPr>
              <w:spacing w:line="440" w:lineRule="exact"/>
              <w:jc w:val="center"/>
              <w:rPr>
                <w:szCs w:val="21"/>
              </w:rPr>
            </w:pPr>
          </w:p>
        </w:tc>
        <w:tc>
          <w:tcPr>
            <w:tcW w:w="1212" w:type="dxa"/>
          </w:tcPr>
          <w:p>
            <w:pPr>
              <w:spacing w:line="440" w:lineRule="exact"/>
              <w:jc w:val="center"/>
              <w:rPr>
                <w:szCs w:val="21"/>
              </w:rPr>
            </w:pPr>
          </w:p>
        </w:tc>
        <w:tc>
          <w:tcPr>
            <w:tcW w:w="874" w:type="dxa"/>
          </w:tcPr>
          <w:p>
            <w:pPr>
              <w:spacing w:line="440" w:lineRule="exact"/>
              <w:jc w:val="center"/>
              <w:rPr>
                <w:szCs w:val="21"/>
              </w:rPr>
            </w:pPr>
          </w:p>
        </w:tc>
        <w:tc>
          <w:tcPr>
            <w:tcW w:w="1055" w:type="dxa"/>
          </w:tcPr>
          <w:p>
            <w:pPr>
              <w:spacing w:line="440" w:lineRule="exact"/>
              <w:jc w:val="center"/>
              <w:rPr>
                <w:szCs w:val="21"/>
              </w:rPr>
            </w:pPr>
          </w:p>
        </w:tc>
        <w:tc>
          <w:tcPr>
            <w:tcW w:w="691" w:type="dxa"/>
          </w:tcPr>
          <w:p>
            <w:pPr>
              <w:spacing w:line="440" w:lineRule="exact"/>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5" w:type="dxa"/>
          </w:tcPr>
          <w:p>
            <w:pPr>
              <w:spacing w:line="440" w:lineRule="exact"/>
              <w:jc w:val="center"/>
              <w:rPr>
                <w:szCs w:val="21"/>
              </w:rPr>
            </w:pPr>
          </w:p>
        </w:tc>
        <w:tc>
          <w:tcPr>
            <w:tcW w:w="1086" w:type="dxa"/>
          </w:tcPr>
          <w:p>
            <w:pPr>
              <w:spacing w:line="440" w:lineRule="exact"/>
              <w:jc w:val="center"/>
              <w:rPr>
                <w:szCs w:val="21"/>
              </w:rPr>
            </w:pPr>
          </w:p>
        </w:tc>
        <w:tc>
          <w:tcPr>
            <w:tcW w:w="761" w:type="dxa"/>
          </w:tcPr>
          <w:p>
            <w:pPr>
              <w:spacing w:line="440" w:lineRule="exact"/>
              <w:jc w:val="center"/>
              <w:rPr>
                <w:szCs w:val="21"/>
              </w:rPr>
            </w:pPr>
          </w:p>
        </w:tc>
        <w:tc>
          <w:tcPr>
            <w:tcW w:w="990" w:type="dxa"/>
          </w:tcPr>
          <w:p>
            <w:pPr>
              <w:spacing w:line="440" w:lineRule="exact"/>
              <w:jc w:val="center"/>
              <w:rPr>
                <w:szCs w:val="21"/>
              </w:rPr>
            </w:pPr>
          </w:p>
        </w:tc>
        <w:tc>
          <w:tcPr>
            <w:tcW w:w="672" w:type="dxa"/>
          </w:tcPr>
          <w:p>
            <w:pPr>
              <w:spacing w:line="440" w:lineRule="exact"/>
              <w:jc w:val="center"/>
              <w:rPr>
                <w:szCs w:val="21"/>
              </w:rPr>
            </w:pPr>
          </w:p>
        </w:tc>
        <w:tc>
          <w:tcPr>
            <w:tcW w:w="738" w:type="dxa"/>
          </w:tcPr>
          <w:p>
            <w:pPr>
              <w:spacing w:line="440" w:lineRule="exact"/>
              <w:jc w:val="center"/>
              <w:rPr>
                <w:szCs w:val="21"/>
              </w:rPr>
            </w:pPr>
          </w:p>
        </w:tc>
        <w:tc>
          <w:tcPr>
            <w:tcW w:w="1212" w:type="dxa"/>
          </w:tcPr>
          <w:p>
            <w:pPr>
              <w:spacing w:line="440" w:lineRule="exact"/>
              <w:jc w:val="center"/>
              <w:rPr>
                <w:szCs w:val="21"/>
              </w:rPr>
            </w:pPr>
          </w:p>
        </w:tc>
        <w:tc>
          <w:tcPr>
            <w:tcW w:w="874" w:type="dxa"/>
          </w:tcPr>
          <w:p>
            <w:pPr>
              <w:spacing w:line="440" w:lineRule="exact"/>
              <w:jc w:val="center"/>
              <w:rPr>
                <w:szCs w:val="21"/>
              </w:rPr>
            </w:pPr>
          </w:p>
        </w:tc>
        <w:tc>
          <w:tcPr>
            <w:tcW w:w="1055" w:type="dxa"/>
          </w:tcPr>
          <w:p>
            <w:pPr>
              <w:spacing w:line="440" w:lineRule="exact"/>
              <w:jc w:val="center"/>
              <w:rPr>
                <w:szCs w:val="21"/>
              </w:rPr>
            </w:pPr>
          </w:p>
        </w:tc>
        <w:tc>
          <w:tcPr>
            <w:tcW w:w="691" w:type="dxa"/>
          </w:tcPr>
          <w:p>
            <w:pPr>
              <w:spacing w:line="440" w:lineRule="exact"/>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5" w:type="dxa"/>
          </w:tcPr>
          <w:p>
            <w:pPr>
              <w:spacing w:line="440" w:lineRule="exact"/>
              <w:jc w:val="center"/>
              <w:rPr>
                <w:szCs w:val="21"/>
              </w:rPr>
            </w:pPr>
          </w:p>
        </w:tc>
        <w:tc>
          <w:tcPr>
            <w:tcW w:w="1086" w:type="dxa"/>
          </w:tcPr>
          <w:p>
            <w:pPr>
              <w:spacing w:line="440" w:lineRule="exact"/>
              <w:jc w:val="center"/>
              <w:rPr>
                <w:szCs w:val="21"/>
              </w:rPr>
            </w:pPr>
          </w:p>
        </w:tc>
        <w:tc>
          <w:tcPr>
            <w:tcW w:w="761" w:type="dxa"/>
          </w:tcPr>
          <w:p>
            <w:pPr>
              <w:spacing w:line="440" w:lineRule="exact"/>
              <w:jc w:val="center"/>
              <w:rPr>
                <w:szCs w:val="21"/>
              </w:rPr>
            </w:pPr>
          </w:p>
        </w:tc>
        <w:tc>
          <w:tcPr>
            <w:tcW w:w="990" w:type="dxa"/>
          </w:tcPr>
          <w:p>
            <w:pPr>
              <w:spacing w:line="440" w:lineRule="exact"/>
              <w:jc w:val="center"/>
              <w:rPr>
                <w:szCs w:val="21"/>
              </w:rPr>
            </w:pPr>
          </w:p>
        </w:tc>
        <w:tc>
          <w:tcPr>
            <w:tcW w:w="672" w:type="dxa"/>
          </w:tcPr>
          <w:p>
            <w:pPr>
              <w:spacing w:line="440" w:lineRule="exact"/>
              <w:jc w:val="center"/>
              <w:rPr>
                <w:szCs w:val="21"/>
              </w:rPr>
            </w:pPr>
          </w:p>
        </w:tc>
        <w:tc>
          <w:tcPr>
            <w:tcW w:w="738" w:type="dxa"/>
          </w:tcPr>
          <w:p>
            <w:pPr>
              <w:spacing w:line="440" w:lineRule="exact"/>
              <w:jc w:val="center"/>
              <w:rPr>
                <w:szCs w:val="21"/>
              </w:rPr>
            </w:pPr>
          </w:p>
        </w:tc>
        <w:tc>
          <w:tcPr>
            <w:tcW w:w="1212" w:type="dxa"/>
          </w:tcPr>
          <w:p>
            <w:pPr>
              <w:spacing w:line="440" w:lineRule="exact"/>
              <w:jc w:val="center"/>
              <w:rPr>
                <w:szCs w:val="21"/>
              </w:rPr>
            </w:pPr>
          </w:p>
        </w:tc>
        <w:tc>
          <w:tcPr>
            <w:tcW w:w="874" w:type="dxa"/>
          </w:tcPr>
          <w:p>
            <w:pPr>
              <w:spacing w:line="440" w:lineRule="exact"/>
              <w:jc w:val="center"/>
              <w:rPr>
                <w:szCs w:val="21"/>
              </w:rPr>
            </w:pPr>
          </w:p>
        </w:tc>
        <w:tc>
          <w:tcPr>
            <w:tcW w:w="1055" w:type="dxa"/>
          </w:tcPr>
          <w:p>
            <w:pPr>
              <w:spacing w:line="440" w:lineRule="exact"/>
              <w:jc w:val="center"/>
              <w:rPr>
                <w:szCs w:val="21"/>
              </w:rPr>
            </w:pPr>
          </w:p>
        </w:tc>
        <w:tc>
          <w:tcPr>
            <w:tcW w:w="691" w:type="dxa"/>
          </w:tcPr>
          <w:p>
            <w:pPr>
              <w:spacing w:line="440" w:lineRule="exact"/>
              <w:jc w:val="center"/>
              <w:rPr>
                <w:szCs w:val="21"/>
              </w:rPr>
            </w:pPr>
          </w:p>
        </w:tc>
      </w:tr>
    </w:tbl>
    <w:p>
      <w:pPr>
        <w:pStyle w:val="5"/>
        <w:ind w:firstLine="0" w:firstLineChars="0"/>
        <w:jc w:val="left"/>
      </w:pPr>
    </w:p>
    <w:p>
      <w:pPr>
        <w:widowControl/>
        <w:jc w:val="left"/>
      </w:pPr>
      <w:r>
        <w:br w:type="page"/>
      </w:r>
    </w:p>
    <w:p>
      <w:pPr>
        <w:pStyle w:val="6"/>
        <w:rPr>
          <w:sz w:val="28"/>
        </w:rPr>
      </w:pPr>
      <w:bookmarkStart w:id="82" w:name="_Toc152042588"/>
      <w:bookmarkStart w:id="83" w:name="_Toc246997109"/>
      <w:bookmarkStart w:id="84" w:name="_Toc144974867"/>
      <w:bookmarkStart w:id="85" w:name="_Toc179632819"/>
      <w:bookmarkStart w:id="86" w:name="_Toc247085884"/>
      <w:bookmarkStart w:id="87" w:name="_Toc296602611"/>
      <w:bookmarkStart w:id="88" w:name="_Toc152045799"/>
      <w:bookmarkStart w:id="89" w:name="_Toc246996366"/>
      <w:bookmarkStart w:id="90" w:name="_Toc43371503"/>
      <w:r>
        <w:rPr>
          <w:sz w:val="28"/>
        </w:rPr>
        <w:t>附表</w:t>
      </w:r>
      <w:r>
        <w:rPr>
          <w:rFonts w:hint="eastAsia"/>
          <w:sz w:val="28"/>
        </w:rPr>
        <w:t>二</w:t>
      </w:r>
      <w:r>
        <w:rPr>
          <w:sz w:val="28"/>
        </w:rPr>
        <w:t>：劳动力计划表</w:t>
      </w:r>
      <w:bookmarkEnd w:id="82"/>
      <w:bookmarkEnd w:id="83"/>
      <w:bookmarkEnd w:id="84"/>
      <w:bookmarkEnd w:id="85"/>
      <w:bookmarkEnd w:id="86"/>
      <w:bookmarkEnd w:id="87"/>
      <w:bookmarkEnd w:id="88"/>
      <w:bookmarkEnd w:id="89"/>
      <w:bookmarkEnd w:id="90"/>
    </w:p>
    <w:p>
      <w:pPr>
        <w:spacing w:line="440" w:lineRule="exact"/>
        <w:ind w:right="200"/>
        <w:jc w:val="right"/>
        <w:rPr>
          <w:rFonts w:eastAsia="黑体"/>
          <w:szCs w:val="21"/>
        </w:rPr>
      </w:pPr>
      <w:r>
        <w:rPr>
          <w:rFonts w:eastAsia="黑体"/>
          <w:szCs w:val="21"/>
        </w:rPr>
        <w:t>单位：人</w:t>
      </w:r>
    </w:p>
    <w:tbl>
      <w:tblPr>
        <w:tblStyle w:val="4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9"/>
        <w:gridCol w:w="1304"/>
        <w:gridCol w:w="1065"/>
        <w:gridCol w:w="1065"/>
        <w:gridCol w:w="1065"/>
        <w:gridCol w:w="1065"/>
        <w:gridCol w:w="1065"/>
        <w:gridCol w:w="10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 w:type="dxa"/>
            <w:vAlign w:val="center"/>
          </w:tcPr>
          <w:p>
            <w:pPr>
              <w:spacing w:line="440" w:lineRule="exact"/>
              <w:jc w:val="center"/>
              <w:rPr>
                <w:szCs w:val="21"/>
              </w:rPr>
            </w:pPr>
            <w:r>
              <w:rPr>
                <w:szCs w:val="21"/>
              </w:rPr>
              <w:t>工种</w:t>
            </w:r>
          </w:p>
        </w:tc>
        <w:tc>
          <w:tcPr>
            <w:tcW w:w="7693" w:type="dxa"/>
            <w:gridSpan w:val="7"/>
            <w:vAlign w:val="center"/>
          </w:tcPr>
          <w:p>
            <w:pPr>
              <w:spacing w:line="440" w:lineRule="exact"/>
              <w:jc w:val="center"/>
              <w:rPr>
                <w:szCs w:val="21"/>
              </w:rPr>
            </w:pPr>
            <w:r>
              <w:rPr>
                <w:szCs w:val="21"/>
              </w:rPr>
              <w:t>按工程施工阶段投入劳动力情况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 w:type="dxa"/>
            <w:vAlign w:val="center"/>
          </w:tcPr>
          <w:p>
            <w:pPr>
              <w:spacing w:line="440" w:lineRule="exact"/>
              <w:jc w:val="center"/>
              <w:rPr>
                <w:szCs w:val="21"/>
              </w:rPr>
            </w:pPr>
          </w:p>
        </w:tc>
        <w:tc>
          <w:tcPr>
            <w:tcW w:w="1304" w:type="dxa"/>
            <w:vAlign w:val="center"/>
          </w:tcPr>
          <w:p>
            <w:pPr>
              <w:spacing w:line="440" w:lineRule="exact"/>
              <w:jc w:val="center"/>
              <w:rPr>
                <w:szCs w:val="21"/>
              </w:rPr>
            </w:pPr>
          </w:p>
        </w:tc>
        <w:tc>
          <w:tcPr>
            <w:tcW w:w="1065" w:type="dxa"/>
            <w:vAlign w:val="center"/>
          </w:tcPr>
          <w:p>
            <w:pPr>
              <w:spacing w:line="440" w:lineRule="exact"/>
              <w:jc w:val="center"/>
              <w:rPr>
                <w:szCs w:val="21"/>
              </w:rPr>
            </w:pPr>
          </w:p>
        </w:tc>
        <w:tc>
          <w:tcPr>
            <w:tcW w:w="1065" w:type="dxa"/>
            <w:vAlign w:val="center"/>
          </w:tcPr>
          <w:p>
            <w:pPr>
              <w:spacing w:line="440" w:lineRule="exact"/>
              <w:jc w:val="center"/>
              <w:rPr>
                <w:szCs w:val="21"/>
              </w:rPr>
            </w:pPr>
          </w:p>
        </w:tc>
        <w:tc>
          <w:tcPr>
            <w:tcW w:w="1065" w:type="dxa"/>
            <w:vAlign w:val="center"/>
          </w:tcPr>
          <w:p>
            <w:pPr>
              <w:spacing w:line="440" w:lineRule="exact"/>
              <w:jc w:val="center"/>
              <w:rPr>
                <w:szCs w:val="21"/>
              </w:rPr>
            </w:pPr>
          </w:p>
        </w:tc>
        <w:tc>
          <w:tcPr>
            <w:tcW w:w="1065" w:type="dxa"/>
            <w:vAlign w:val="center"/>
          </w:tcPr>
          <w:p>
            <w:pPr>
              <w:spacing w:line="440" w:lineRule="exact"/>
              <w:jc w:val="center"/>
              <w:rPr>
                <w:szCs w:val="21"/>
              </w:rPr>
            </w:pPr>
          </w:p>
        </w:tc>
        <w:tc>
          <w:tcPr>
            <w:tcW w:w="1065" w:type="dxa"/>
            <w:vAlign w:val="center"/>
          </w:tcPr>
          <w:p>
            <w:pPr>
              <w:spacing w:line="440" w:lineRule="exact"/>
              <w:jc w:val="center"/>
              <w:rPr>
                <w:szCs w:val="21"/>
              </w:rPr>
            </w:pPr>
          </w:p>
        </w:tc>
        <w:tc>
          <w:tcPr>
            <w:tcW w:w="1064" w:type="dxa"/>
            <w:vAlign w:val="center"/>
          </w:tcPr>
          <w:p>
            <w:pPr>
              <w:spacing w:line="440" w:lineRule="exact"/>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 w:type="dxa"/>
            <w:vAlign w:val="center"/>
          </w:tcPr>
          <w:p>
            <w:pPr>
              <w:spacing w:line="440" w:lineRule="exact"/>
              <w:jc w:val="center"/>
              <w:rPr>
                <w:szCs w:val="21"/>
              </w:rPr>
            </w:pPr>
          </w:p>
        </w:tc>
        <w:tc>
          <w:tcPr>
            <w:tcW w:w="1304" w:type="dxa"/>
            <w:vAlign w:val="center"/>
          </w:tcPr>
          <w:p>
            <w:pPr>
              <w:spacing w:line="440" w:lineRule="exact"/>
              <w:jc w:val="center"/>
              <w:rPr>
                <w:szCs w:val="21"/>
              </w:rPr>
            </w:pPr>
          </w:p>
        </w:tc>
        <w:tc>
          <w:tcPr>
            <w:tcW w:w="1065" w:type="dxa"/>
            <w:vAlign w:val="center"/>
          </w:tcPr>
          <w:p>
            <w:pPr>
              <w:spacing w:line="440" w:lineRule="exact"/>
              <w:jc w:val="center"/>
              <w:rPr>
                <w:szCs w:val="21"/>
              </w:rPr>
            </w:pPr>
          </w:p>
        </w:tc>
        <w:tc>
          <w:tcPr>
            <w:tcW w:w="1065" w:type="dxa"/>
            <w:vAlign w:val="center"/>
          </w:tcPr>
          <w:p>
            <w:pPr>
              <w:spacing w:line="440" w:lineRule="exact"/>
              <w:jc w:val="center"/>
              <w:rPr>
                <w:szCs w:val="21"/>
              </w:rPr>
            </w:pPr>
          </w:p>
        </w:tc>
        <w:tc>
          <w:tcPr>
            <w:tcW w:w="1065" w:type="dxa"/>
            <w:vAlign w:val="center"/>
          </w:tcPr>
          <w:p>
            <w:pPr>
              <w:spacing w:line="440" w:lineRule="exact"/>
              <w:jc w:val="center"/>
              <w:rPr>
                <w:szCs w:val="21"/>
              </w:rPr>
            </w:pPr>
          </w:p>
        </w:tc>
        <w:tc>
          <w:tcPr>
            <w:tcW w:w="1065" w:type="dxa"/>
            <w:vAlign w:val="center"/>
          </w:tcPr>
          <w:p>
            <w:pPr>
              <w:spacing w:line="440" w:lineRule="exact"/>
              <w:jc w:val="center"/>
              <w:rPr>
                <w:szCs w:val="21"/>
              </w:rPr>
            </w:pPr>
          </w:p>
        </w:tc>
        <w:tc>
          <w:tcPr>
            <w:tcW w:w="1065" w:type="dxa"/>
            <w:vAlign w:val="center"/>
          </w:tcPr>
          <w:p>
            <w:pPr>
              <w:spacing w:line="440" w:lineRule="exact"/>
              <w:jc w:val="center"/>
              <w:rPr>
                <w:szCs w:val="21"/>
              </w:rPr>
            </w:pPr>
          </w:p>
        </w:tc>
        <w:tc>
          <w:tcPr>
            <w:tcW w:w="1064" w:type="dxa"/>
            <w:vAlign w:val="center"/>
          </w:tcPr>
          <w:p>
            <w:pPr>
              <w:spacing w:line="440" w:lineRule="exact"/>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 w:type="dxa"/>
          </w:tcPr>
          <w:p>
            <w:pPr>
              <w:spacing w:line="440" w:lineRule="exact"/>
              <w:jc w:val="center"/>
              <w:rPr>
                <w:szCs w:val="21"/>
              </w:rPr>
            </w:pPr>
          </w:p>
        </w:tc>
        <w:tc>
          <w:tcPr>
            <w:tcW w:w="1304" w:type="dxa"/>
          </w:tcPr>
          <w:p>
            <w:pPr>
              <w:spacing w:line="440" w:lineRule="exact"/>
              <w:jc w:val="center"/>
              <w:rPr>
                <w:szCs w:val="21"/>
              </w:rPr>
            </w:pPr>
          </w:p>
        </w:tc>
        <w:tc>
          <w:tcPr>
            <w:tcW w:w="1065" w:type="dxa"/>
          </w:tcPr>
          <w:p>
            <w:pPr>
              <w:spacing w:line="440" w:lineRule="exact"/>
              <w:jc w:val="center"/>
              <w:rPr>
                <w:szCs w:val="21"/>
              </w:rPr>
            </w:pPr>
          </w:p>
        </w:tc>
        <w:tc>
          <w:tcPr>
            <w:tcW w:w="1065" w:type="dxa"/>
          </w:tcPr>
          <w:p>
            <w:pPr>
              <w:spacing w:line="440" w:lineRule="exact"/>
              <w:jc w:val="center"/>
              <w:rPr>
                <w:szCs w:val="21"/>
              </w:rPr>
            </w:pPr>
          </w:p>
        </w:tc>
        <w:tc>
          <w:tcPr>
            <w:tcW w:w="1065" w:type="dxa"/>
          </w:tcPr>
          <w:p>
            <w:pPr>
              <w:spacing w:line="440" w:lineRule="exact"/>
              <w:jc w:val="center"/>
              <w:rPr>
                <w:szCs w:val="21"/>
              </w:rPr>
            </w:pPr>
          </w:p>
        </w:tc>
        <w:tc>
          <w:tcPr>
            <w:tcW w:w="1065" w:type="dxa"/>
          </w:tcPr>
          <w:p>
            <w:pPr>
              <w:spacing w:line="440" w:lineRule="exact"/>
              <w:jc w:val="center"/>
              <w:rPr>
                <w:szCs w:val="21"/>
              </w:rPr>
            </w:pPr>
          </w:p>
        </w:tc>
        <w:tc>
          <w:tcPr>
            <w:tcW w:w="1065" w:type="dxa"/>
          </w:tcPr>
          <w:p>
            <w:pPr>
              <w:spacing w:line="440" w:lineRule="exact"/>
              <w:jc w:val="center"/>
              <w:rPr>
                <w:szCs w:val="21"/>
              </w:rPr>
            </w:pPr>
          </w:p>
        </w:tc>
        <w:tc>
          <w:tcPr>
            <w:tcW w:w="1064" w:type="dxa"/>
          </w:tcPr>
          <w:p>
            <w:pPr>
              <w:spacing w:line="440" w:lineRule="exact"/>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 w:type="dxa"/>
          </w:tcPr>
          <w:p>
            <w:pPr>
              <w:spacing w:line="440" w:lineRule="exact"/>
              <w:jc w:val="center"/>
              <w:rPr>
                <w:szCs w:val="21"/>
              </w:rPr>
            </w:pPr>
          </w:p>
        </w:tc>
        <w:tc>
          <w:tcPr>
            <w:tcW w:w="1304" w:type="dxa"/>
          </w:tcPr>
          <w:p>
            <w:pPr>
              <w:spacing w:line="440" w:lineRule="exact"/>
              <w:jc w:val="center"/>
              <w:rPr>
                <w:szCs w:val="21"/>
              </w:rPr>
            </w:pPr>
          </w:p>
        </w:tc>
        <w:tc>
          <w:tcPr>
            <w:tcW w:w="1065" w:type="dxa"/>
          </w:tcPr>
          <w:p>
            <w:pPr>
              <w:spacing w:line="440" w:lineRule="exact"/>
              <w:jc w:val="center"/>
              <w:rPr>
                <w:szCs w:val="21"/>
              </w:rPr>
            </w:pPr>
          </w:p>
        </w:tc>
        <w:tc>
          <w:tcPr>
            <w:tcW w:w="1065" w:type="dxa"/>
          </w:tcPr>
          <w:p>
            <w:pPr>
              <w:spacing w:line="440" w:lineRule="exact"/>
              <w:jc w:val="center"/>
              <w:rPr>
                <w:szCs w:val="21"/>
              </w:rPr>
            </w:pPr>
          </w:p>
        </w:tc>
        <w:tc>
          <w:tcPr>
            <w:tcW w:w="1065" w:type="dxa"/>
          </w:tcPr>
          <w:p>
            <w:pPr>
              <w:spacing w:line="440" w:lineRule="exact"/>
              <w:jc w:val="center"/>
              <w:rPr>
                <w:szCs w:val="21"/>
              </w:rPr>
            </w:pPr>
          </w:p>
        </w:tc>
        <w:tc>
          <w:tcPr>
            <w:tcW w:w="1065" w:type="dxa"/>
          </w:tcPr>
          <w:p>
            <w:pPr>
              <w:spacing w:line="440" w:lineRule="exact"/>
              <w:jc w:val="center"/>
              <w:rPr>
                <w:szCs w:val="21"/>
              </w:rPr>
            </w:pPr>
          </w:p>
        </w:tc>
        <w:tc>
          <w:tcPr>
            <w:tcW w:w="1065" w:type="dxa"/>
          </w:tcPr>
          <w:p>
            <w:pPr>
              <w:spacing w:line="440" w:lineRule="exact"/>
              <w:jc w:val="center"/>
              <w:rPr>
                <w:szCs w:val="21"/>
              </w:rPr>
            </w:pPr>
          </w:p>
        </w:tc>
        <w:tc>
          <w:tcPr>
            <w:tcW w:w="1064" w:type="dxa"/>
          </w:tcPr>
          <w:p>
            <w:pPr>
              <w:spacing w:line="440" w:lineRule="exact"/>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 w:type="dxa"/>
          </w:tcPr>
          <w:p>
            <w:pPr>
              <w:spacing w:line="440" w:lineRule="exact"/>
              <w:jc w:val="center"/>
              <w:rPr>
                <w:szCs w:val="21"/>
              </w:rPr>
            </w:pPr>
          </w:p>
        </w:tc>
        <w:tc>
          <w:tcPr>
            <w:tcW w:w="1304" w:type="dxa"/>
          </w:tcPr>
          <w:p>
            <w:pPr>
              <w:spacing w:line="440" w:lineRule="exact"/>
              <w:jc w:val="center"/>
              <w:rPr>
                <w:szCs w:val="21"/>
              </w:rPr>
            </w:pPr>
          </w:p>
        </w:tc>
        <w:tc>
          <w:tcPr>
            <w:tcW w:w="1065" w:type="dxa"/>
          </w:tcPr>
          <w:p>
            <w:pPr>
              <w:spacing w:line="440" w:lineRule="exact"/>
              <w:jc w:val="center"/>
              <w:rPr>
                <w:szCs w:val="21"/>
              </w:rPr>
            </w:pPr>
          </w:p>
        </w:tc>
        <w:tc>
          <w:tcPr>
            <w:tcW w:w="1065" w:type="dxa"/>
          </w:tcPr>
          <w:p>
            <w:pPr>
              <w:spacing w:line="440" w:lineRule="exact"/>
              <w:jc w:val="center"/>
              <w:rPr>
                <w:szCs w:val="21"/>
              </w:rPr>
            </w:pPr>
          </w:p>
        </w:tc>
        <w:tc>
          <w:tcPr>
            <w:tcW w:w="1065" w:type="dxa"/>
          </w:tcPr>
          <w:p>
            <w:pPr>
              <w:spacing w:line="440" w:lineRule="exact"/>
              <w:jc w:val="center"/>
              <w:rPr>
                <w:szCs w:val="21"/>
              </w:rPr>
            </w:pPr>
          </w:p>
        </w:tc>
        <w:tc>
          <w:tcPr>
            <w:tcW w:w="1065" w:type="dxa"/>
          </w:tcPr>
          <w:p>
            <w:pPr>
              <w:spacing w:line="440" w:lineRule="exact"/>
              <w:jc w:val="center"/>
              <w:rPr>
                <w:szCs w:val="21"/>
              </w:rPr>
            </w:pPr>
          </w:p>
        </w:tc>
        <w:tc>
          <w:tcPr>
            <w:tcW w:w="1065" w:type="dxa"/>
          </w:tcPr>
          <w:p>
            <w:pPr>
              <w:spacing w:line="440" w:lineRule="exact"/>
              <w:jc w:val="center"/>
              <w:rPr>
                <w:szCs w:val="21"/>
              </w:rPr>
            </w:pPr>
          </w:p>
        </w:tc>
        <w:tc>
          <w:tcPr>
            <w:tcW w:w="1064" w:type="dxa"/>
          </w:tcPr>
          <w:p>
            <w:pPr>
              <w:spacing w:line="440" w:lineRule="exact"/>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 w:type="dxa"/>
          </w:tcPr>
          <w:p>
            <w:pPr>
              <w:spacing w:line="440" w:lineRule="exact"/>
              <w:jc w:val="center"/>
              <w:rPr>
                <w:szCs w:val="21"/>
              </w:rPr>
            </w:pPr>
          </w:p>
        </w:tc>
        <w:tc>
          <w:tcPr>
            <w:tcW w:w="1304" w:type="dxa"/>
          </w:tcPr>
          <w:p>
            <w:pPr>
              <w:spacing w:line="440" w:lineRule="exact"/>
              <w:jc w:val="center"/>
              <w:rPr>
                <w:szCs w:val="21"/>
              </w:rPr>
            </w:pPr>
          </w:p>
        </w:tc>
        <w:tc>
          <w:tcPr>
            <w:tcW w:w="1065" w:type="dxa"/>
          </w:tcPr>
          <w:p>
            <w:pPr>
              <w:spacing w:line="440" w:lineRule="exact"/>
              <w:jc w:val="center"/>
              <w:rPr>
                <w:szCs w:val="21"/>
              </w:rPr>
            </w:pPr>
          </w:p>
        </w:tc>
        <w:tc>
          <w:tcPr>
            <w:tcW w:w="1065" w:type="dxa"/>
          </w:tcPr>
          <w:p>
            <w:pPr>
              <w:spacing w:line="440" w:lineRule="exact"/>
              <w:jc w:val="center"/>
              <w:rPr>
                <w:szCs w:val="21"/>
              </w:rPr>
            </w:pPr>
          </w:p>
        </w:tc>
        <w:tc>
          <w:tcPr>
            <w:tcW w:w="1065" w:type="dxa"/>
          </w:tcPr>
          <w:p>
            <w:pPr>
              <w:spacing w:line="440" w:lineRule="exact"/>
              <w:jc w:val="center"/>
              <w:rPr>
                <w:szCs w:val="21"/>
              </w:rPr>
            </w:pPr>
          </w:p>
        </w:tc>
        <w:tc>
          <w:tcPr>
            <w:tcW w:w="1065" w:type="dxa"/>
          </w:tcPr>
          <w:p>
            <w:pPr>
              <w:spacing w:line="440" w:lineRule="exact"/>
              <w:jc w:val="center"/>
              <w:rPr>
                <w:szCs w:val="21"/>
              </w:rPr>
            </w:pPr>
          </w:p>
        </w:tc>
        <w:tc>
          <w:tcPr>
            <w:tcW w:w="1065" w:type="dxa"/>
          </w:tcPr>
          <w:p>
            <w:pPr>
              <w:spacing w:line="440" w:lineRule="exact"/>
              <w:jc w:val="center"/>
              <w:rPr>
                <w:szCs w:val="21"/>
              </w:rPr>
            </w:pPr>
          </w:p>
        </w:tc>
        <w:tc>
          <w:tcPr>
            <w:tcW w:w="1064" w:type="dxa"/>
          </w:tcPr>
          <w:p>
            <w:pPr>
              <w:spacing w:line="440" w:lineRule="exact"/>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 w:type="dxa"/>
          </w:tcPr>
          <w:p>
            <w:pPr>
              <w:spacing w:line="440" w:lineRule="exact"/>
              <w:jc w:val="center"/>
              <w:rPr>
                <w:szCs w:val="21"/>
              </w:rPr>
            </w:pPr>
          </w:p>
        </w:tc>
        <w:tc>
          <w:tcPr>
            <w:tcW w:w="1304" w:type="dxa"/>
          </w:tcPr>
          <w:p>
            <w:pPr>
              <w:spacing w:line="440" w:lineRule="exact"/>
              <w:jc w:val="center"/>
              <w:rPr>
                <w:szCs w:val="21"/>
              </w:rPr>
            </w:pPr>
          </w:p>
        </w:tc>
        <w:tc>
          <w:tcPr>
            <w:tcW w:w="1065" w:type="dxa"/>
          </w:tcPr>
          <w:p>
            <w:pPr>
              <w:spacing w:line="440" w:lineRule="exact"/>
              <w:jc w:val="center"/>
              <w:rPr>
                <w:szCs w:val="21"/>
              </w:rPr>
            </w:pPr>
          </w:p>
        </w:tc>
        <w:tc>
          <w:tcPr>
            <w:tcW w:w="1065" w:type="dxa"/>
          </w:tcPr>
          <w:p>
            <w:pPr>
              <w:spacing w:line="440" w:lineRule="exact"/>
              <w:jc w:val="center"/>
              <w:rPr>
                <w:szCs w:val="21"/>
              </w:rPr>
            </w:pPr>
          </w:p>
        </w:tc>
        <w:tc>
          <w:tcPr>
            <w:tcW w:w="1065" w:type="dxa"/>
          </w:tcPr>
          <w:p>
            <w:pPr>
              <w:spacing w:line="440" w:lineRule="exact"/>
              <w:jc w:val="center"/>
              <w:rPr>
                <w:szCs w:val="21"/>
              </w:rPr>
            </w:pPr>
          </w:p>
        </w:tc>
        <w:tc>
          <w:tcPr>
            <w:tcW w:w="1065" w:type="dxa"/>
          </w:tcPr>
          <w:p>
            <w:pPr>
              <w:spacing w:line="440" w:lineRule="exact"/>
              <w:jc w:val="center"/>
              <w:rPr>
                <w:szCs w:val="21"/>
              </w:rPr>
            </w:pPr>
          </w:p>
        </w:tc>
        <w:tc>
          <w:tcPr>
            <w:tcW w:w="1065" w:type="dxa"/>
          </w:tcPr>
          <w:p>
            <w:pPr>
              <w:spacing w:line="440" w:lineRule="exact"/>
              <w:jc w:val="center"/>
              <w:rPr>
                <w:szCs w:val="21"/>
              </w:rPr>
            </w:pPr>
          </w:p>
        </w:tc>
        <w:tc>
          <w:tcPr>
            <w:tcW w:w="1064" w:type="dxa"/>
          </w:tcPr>
          <w:p>
            <w:pPr>
              <w:spacing w:line="440" w:lineRule="exact"/>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 w:type="dxa"/>
          </w:tcPr>
          <w:p>
            <w:pPr>
              <w:spacing w:line="440" w:lineRule="exact"/>
              <w:jc w:val="center"/>
              <w:rPr>
                <w:szCs w:val="21"/>
              </w:rPr>
            </w:pPr>
          </w:p>
        </w:tc>
        <w:tc>
          <w:tcPr>
            <w:tcW w:w="1304" w:type="dxa"/>
          </w:tcPr>
          <w:p>
            <w:pPr>
              <w:spacing w:line="440" w:lineRule="exact"/>
              <w:jc w:val="center"/>
              <w:rPr>
                <w:szCs w:val="21"/>
              </w:rPr>
            </w:pPr>
          </w:p>
        </w:tc>
        <w:tc>
          <w:tcPr>
            <w:tcW w:w="1065" w:type="dxa"/>
          </w:tcPr>
          <w:p>
            <w:pPr>
              <w:spacing w:line="440" w:lineRule="exact"/>
              <w:jc w:val="center"/>
              <w:rPr>
                <w:szCs w:val="21"/>
              </w:rPr>
            </w:pPr>
          </w:p>
        </w:tc>
        <w:tc>
          <w:tcPr>
            <w:tcW w:w="1065" w:type="dxa"/>
          </w:tcPr>
          <w:p>
            <w:pPr>
              <w:spacing w:line="440" w:lineRule="exact"/>
              <w:jc w:val="center"/>
              <w:rPr>
                <w:szCs w:val="21"/>
              </w:rPr>
            </w:pPr>
          </w:p>
        </w:tc>
        <w:tc>
          <w:tcPr>
            <w:tcW w:w="1065" w:type="dxa"/>
          </w:tcPr>
          <w:p>
            <w:pPr>
              <w:spacing w:line="440" w:lineRule="exact"/>
              <w:jc w:val="center"/>
              <w:rPr>
                <w:szCs w:val="21"/>
              </w:rPr>
            </w:pPr>
          </w:p>
        </w:tc>
        <w:tc>
          <w:tcPr>
            <w:tcW w:w="1065" w:type="dxa"/>
          </w:tcPr>
          <w:p>
            <w:pPr>
              <w:spacing w:line="440" w:lineRule="exact"/>
              <w:jc w:val="center"/>
              <w:rPr>
                <w:szCs w:val="21"/>
              </w:rPr>
            </w:pPr>
          </w:p>
        </w:tc>
        <w:tc>
          <w:tcPr>
            <w:tcW w:w="1065" w:type="dxa"/>
          </w:tcPr>
          <w:p>
            <w:pPr>
              <w:spacing w:line="440" w:lineRule="exact"/>
              <w:jc w:val="center"/>
              <w:rPr>
                <w:szCs w:val="21"/>
              </w:rPr>
            </w:pPr>
          </w:p>
        </w:tc>
        <w:tc>
          <w:tcPr>
            <w:tcW w:w="1064" w:type="dxa"/>
          </w:tcPr>
          <w:p>
            <w:pPr>
              <w:spacing w:line="440" w:lineRule="exact"/>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 w:type="dxa"/>
          </w:tcPr>
          <w:p>
            <w:pPr>
              <w:spacing w:line="440" w:lineRule="exact"/>
              <w:jc w:val="center"/>
              <w:rPr>
                <w:szCs w:val="21"/>
              </w:rPr>
            </w:pPr>
          </w:p>
        </w:tc>
        <w:tc>
          <w:tcPr>
            <w:tcW w:w="1304" w:type="dxa"/>
          </w:tcPr>
          <w:p>
            <w:pPr>
              <w:spacing w:line="440" w:lineRule="exact"/>
              <w:jc w:val="center"/>
              <w:rPr>
                <w:szCs w:val="21"/>
              </w:rPr>
            </w:pPr>
          </w:p>
        </w:tc>
        <w:tc>
          <w:tcPr>
            <w:tcW w:w="1065" w:type="dxa"/>
          </w:tcPr>
          <w:p>
            <w:pPr>
              <w:spacing w:line="440" w:lineRule="exact"/>
              <w:jc w:val="center"/>
              <w:rPr>
                <w:szCs w:val="21"/>
              </w:rPr>
            </w:pPr>
          </w:p>
        </w:tc>
        <w:tc>
          <w:tcPr>
            <w:tcW w:w="1065" w:type="dxa"/>
          </w:tcPr>
          <w:p>
            <w:pPr>
              <w:spacing w:line="440" w:lineRule="exact"/>
              <w:jc w:val="center"/>
              <w:rPr>
                <w:szCs w:val="21"/>
              </w:rPr>
            </w:pPr>
          </w:p>
        </w:tc>
        <w:tc>
          <w:tcPr>
            <w:tcW w:w="1065" w:type="dxa"/>
          </w:tcPr>
          <w:p>
            <w:pPr>
              <w:spacing w:line="440" w:lineRule="exact"/>
              <w:jc w:val="center"/>
              <w:rPr>
                <w:szCs w:val="21"/>
              </w:rPr>
            </w:pPr>
          </w:p>
        </w:tc>
        <w:tc>
          <w:tcPr>
            <w:tcW w:w="1065" w:type="dxa"/>
          </w:tcPr>
          <w:p>
            <w:pPr>
              <w:spacing w:line="440" w:lineRule="exact"/>
              <w:jc w:val="center"/>
              <w:rPr>
                <w:szCs w:val="21"/>
              </w:rPr>
            </w:pPr>
          </w:p>
        </w:tc>
        <w:tc>
          <w:tcPr>
            <w:tcW w:w="1065" w:type="dxa"/>
          </w:tcPr>
          <w:p>
            <w:pPr>
              <w:spacing w:line="440" w:lineRule="exact"/>
              <w:jc w:val="center"/>
              <w:rPr>
                <w:szCs w:val="21"/>
              </w:rPr>
            </w:pPr>
          </w:p>
        </w:tc>
        <w:tc>
          <w:tcPr>
            <w:tcW w:w="1064" w:type="dxa"/>
          </w:tcPr>
          <w:p>
            <w:pPr>
              <w:spacing w:line="440" w:lineRule="exact"/>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 w:type="dxa"/>
          </w:tcPr>
          <w:p>
            <w:pPr>
              <w:spacing w:line="440" w:lineRule="exact"/>
              <w:jc w:val="center"/>
              <w:rPr>
                <w:szCs w:val="21"/>
              </w:rPr>
            </w:pPr>
          </w:p>
        </w:tc>
        <w:tc>
          <w:tcPr>
            <w:tcW w:w="1304" w:type="dxa"/>
          </w:tcPr>
          <w:p>
            <w:pPr>
              <w:spacing w:line="440" w:lineRule="exact"/>
              <w:jc w:val="center"/>
              <w:rPr>
                <w:szCs w:val="21"/>
              </w:rPr>
            </w:pPr>
          </w:p>
        </w:tc>
        <w:tc>
          <w:tcPr>
            <w:tcW w:w="1065" w:type="dxa"/>
          </w:tcPr>
          <w:p>
            <w:pPr>
              <w:spacing w:line="440" w:lineRule="exact"/>
              <w:jc w:val="center"/>
              <w:rPr>
                <w:szCs w:val="21"/>
              </w:rPr>
            </w:pPr>
          </w:p>
        </w:tc>
        <w:tc>
          <w:tcPr>
            <w:tcW w:w="1065" w:type="dxa"/>
          </w:tcPr>
          <w:p>
            <w:pPr>
              <w:spacing w:line="440" w:lineRule="exact"/>
              <w:jc w:val="center"/>
              <w:rPr>
                <w:szCs w:val="21"/>
              </w:rPr>
            </w:pPr>
          </w:p>
        </w:tc>
        <w:tc>
          <w:tcPr>
            <w:tcW w:w="1065" w:type="dxa"/>
          </w:tcPr>
          <w:p>
            <w:pPr>
              <w:spacing w:line="440" w:lineRule="exact"/>
              <w:jc w:val="center"/>
              <w:rPr>
                <w:szCs w:val="21"/>
              </w:rPr>
            </w:pPr>
          </w:p>
        </w:tc>
        <w:tc>
          <w:tcPr>
            <w:tcW w:w="1065" w:type="dxa"/>
          </w:tcPr>
          <w:p>
            <w:pPr>
              <w:spacing w:line="440" w:lineRule="exact"/>
              <w:jc w:val="center"/>
              <w:rPr>
                <w:szCs w:val="21"/>
              </w:rPr>
            </w:pPr>
          </w:p>
        </w:tc>
        <w:tc>
          <w:tcPr>
            <w:tcW w:w="1065" w:type="dxa"/>
          </w:tcPr>
          <w:p>
            <w:pPr>
              <w:spacing w:line="440" w:lineRule="exact"/>
              <w:jc w:val="center"/>
              <w:rPr>
                <w:szCs w:val="21"/>
              </w:rPr>
            </w:pPr>
          </w:p>
        </w:tc>
        <w:tc>
          <w:tcPr>
            <w:tcW w:w="1064" w:type="dxa"/>
          </w:tcPr>
          <w:p>
            <w:pPr>
              <w:spacing w:line="440" w:lineRule="exact"/>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 w:type="dxa"/>
          </w:tcPr>
          <w:p>
            <w:pPr>
              <w:spacing w:line="440" w:lineRule="exact"/>
              <w:jc w:val="center"/>
              <w:rPr>
                <w:szCs w:val="21"/>
              </w:rPr>
            </w:pPr>
          </w:p>
        </w:tc>
        <w:tc>
          <w:tcPr>
            <w:tcW w:w="1304" w:type="dxa"/>
          </w:tcPr>
          <w:p>
            <w:pPr>
              <w:spacing w:line="440" w:lineRule="exact"/>
              <w:jc w:val="center"/>
              <w:rPr>
                <w:szCs w:val="21"/>
              </w:rPr>
            </w:pPr>
          </w:p>
        </w:tc>
        <w:tc>
          <w:tcPr>
            <w:tcW w:w="1065" w:type="dxa"/>
          </w:tcPr>
          <w:p>
            <w:pPr>
              <w:spacing w:line="440" w:lineRule="exact"/>
              <w:jc w:val="center"/>
              <w:rPr>
                <w:szCs w:val="21"/>
              </w:rPr>
            </w:pPr>
          </w:p>
        </w:tc>
        <w:tc>
          <w:tcPr>
            <w:tcW w:w="1065" w:type="dxa"/>
          </w:tcPr>
          <w:p>
            <w:pPr>
              <w:spacing w:line="440" w:lineRule="exact"/>
              <w:jc w:val="center"/>
              <w:rPr>
                <w:szCs w:val="21"/>
              </w:rPr>
            </w:pPr>
          </w:p>
        </w:tc>
        <w:tc>
          <w:tcPr>
            <w:tcW w:w="1065" w:type="dxa"/>
          </w:tcPr>
          <w:p>
            <w:pPr>
              <w:spacing w:line="440" w:lineRule="exact"/>
              <w:jc w:val="center"/>
              <w:rPr>
                <w:szCs w:val="21"/>
              </w:rPr>
            </w:pPr>
          </w:p>
        </w:tc>
        <w:tc>
          <w:tcPr>
            <w:tcW w:w="1065" w:type="dxa"/>
          </w:tcPr>
          <w:p>
            <w:pPr>
              <w:spacing w:line="440" w:lineRule="exact"/>
              <w:jc w:val="center"/>
              <w:rPr>
                <w:szCs w:val="21"/>
              </w:rPr>
            </w:pPr>
          </w:p>
        </w:tc>
        <w:tc>
          <w:tcPr>
            <w:tcW w:w="1065" w:type="dxa"/>
          </w:tcPr>
          <w:p>
            <w:pPr>
              <w:spacing w:line="440" w:lineRule="exact"/>
              <w:jc w:val="center"/>
              <w:rPr>
                <w:szCs w:val="21"/>
              </w:rPr>
            </w:pPr>
          </w:p>
        </w:tc>
        <w:tc>
          <w:tcPr>
            <w:tcW w:w="1064" w:type="dxa"/>
          </w:tcPr>
          <w:p>
            <w:pPr>
              <w:spacing w:line="440" w:lineRule="exact"/>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 w:type="dxa"/>
          </w:tcPr>
          <w:p>
            <w:pPr>
              <w:spacing w:line="440" w:lineRule="exact"/>
              <w:jc w:val="center"/>
              <w:rPr>
                <w:szCs w:val="21"/>
              </w:rPr>
            </w:pPr>
          </w:p>
        </w:tc>
        <w:tc>
          <w:tcPr>
            <w:tcW w:w="1304" w:type="dxa"/>
          </w:tcPr>
          <w:p>
            <w:pPr>
              <w:spacing w:line="440" w:lineRule="exact"/>
              <w:jc w:val="center"/>
              <w:rPr>
                <w:szCs w:val="21"/>
              </w:rPr>
            </w:pPr>
          </w:p>
        </w:tc>
        <w:tc>
          <w:tcPr>
            <w:tcW w:w="1065" w:type="dxa"/>
          </w:tcPr>
          <w:p>
            <w:pPr>
              <w:spacing w:line="440" w:lineRule="exact"/>
              <w:jc w:val="center"/>
              <w:rPr>
                <w:szCs w:val="21"/>
              </w:rPr>
            </w:pPr>
          </w:p>
        </w:tc>
        <w:tc>
          <w:tcPr>
            <w:tcW w:w="1065" w:type="dxa"/>
          </w:tcPr>
          <w:p>
            <w:pPr>
              <w:spacing w:line="440" w:lineRule="exact"/>
              <w:jc w:val="center"/>
              <w:rPr>
                <w:szCs w:val="21"/>
              </w:rPr>
            </w:pPr>
          </w:p>
        </w:tc>
        <w:tc>
          <w:tcPr>
            <w:tcW w:w="1065" w:type="dxa"/>
          </w:tcPr>
          <w:p>
            <w:pPr>
              <w:spacing w:line="440" w:lineRule="exact"/>
              <w:jc w:val="center"/>
              <w:rPr>
                <w:szCs w:val="21"/>
              </w:rPr>
            </w:pPr>
          </w:p>
        </w:tc>
        <w:tc>
          <w:tcPr>
            <w:tcW w:w="1065" w:type="dxa"/>
          </w:tcPr>
          <w:p>
            <w:pPr>
              <w:spacing w:line="440" w:lineRule="exact"/>
              <w:jc w:val="center"/>
              <w:rPr>
                <w:szCs w:val="21"/>
              </w:rPr>
            </w:pPr>
          </w:p>
        </w:tc>
        <w:tc>
          <w:tcPr>
            <w:tcW w:w="1065" w:type="dxa"/>
          </w:tcPr>
          <w:p>
            <w:pPr>
              <w:spacing w:line="440" w:lineRule="exact"/>
              <w:jc w:val="center"/>
              <w:rPr>
                <w:szCs w:val="21"/>
              </w:rPr>
            </w:pPr>
          </w:p>
        </w:tc>
        <w:tc>
          <w:tcPr>
            <w:tcW w:w="1064" w:type="dxa"/>
          </w:tcPr>
          <w:p>
            <w:pPr>
              <w:spacing w:line="440" w:lineRule="exact"/>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 w:type="dxa"/>
          </w:tcPr>
          <w:p>
            <w:pPr>
              <w:spacing w:line="440" w:lineRule="exact"/>
              <w:jc w:val="center"/>
              <w:rPr>
                <w:szCs w:val="21"/>
              </w:rPr>
            </w:pPr>
          </w:p>
        </w:tc>
        <w:tc>
          <w:tcPr>
            <w:tcW w:w="1304" w:type="dxa"/>
          </w:tcPr>
          <w:p>
            <w:pPr>
              <w:spacing w:line="440" w:lineRule="exact"/>
              <w:jc w:val="center"/>
              <w:rPr>
                <w:szCs w:val="21"/>
              </w:rPr>
            </w:pPr>
          </w:p>
        </w:tc>
        <w:tc>
          <w:tcPr>
            <w:tcW w:w="1065" w:type="dxa"/>
          </w:tcPr>
          <w:p>
            <w:pPr>
              <w:spacing w:line="440" w:lineRule="exact"/>
              <w:jc w:val="center"/>
              <w:rPr>
                <w:szCs w:val="21"/>
              </w:rPr>
            </w:pPr>
          </w:p>
        </w:tc>
        <w:tc>
          <w:tcPr>
            <w:tcW w:w="1065" w:type="dxa"/>
          </w:tcPr>
          <w:p>
            <w:pPr>
              <w:spacing w:line="440" w:lineRule="exact"/>
              <w:jc w:val="center"/>
              <w:rPr>
                <w:szCs w:val="21"/>
              </w:rPr>
            </w:pPr>
          </w:p>
        </w:tc>
        <w:tc>
          <w:tcPr>
            <w:tcW w:w="1065" w:type="dxa"/>
          </w:tcPr>
          <w:p>
            <w:pPr>
              <w:spacing w:line="440" w:lineRule="exact"/>
              <w:jc w:val="center"/>
              <w:rPr>
                <w:szCs w:val="21"/>
              </w:rPr>
            </w:pPr>
          </w:p>
        </w:tc>
        <w:tc>
          <w:tcPr>
            <w:tcW w:w="1065" w:type="dxa"/>
          </w:tcPr>
          <w:p>
            <w:pPr>
              <w:spacing w:line="440" w:lineRule="exact"/>
              <w:jc w:val="center"/>
              <w:rPr>
                <w:szCs w:val="21"/>
              </w:rPr>
            </w:pPr>
          </w:p>
        </w:tc>
        <w:tc>
          <w:tcPr>
            <w:tcW w:w="1065" w:type="dxa"/>
          </w:tcPr>
          <w:p>
            <w:pPr>
              <w:spacing w:line="440" w:lineRule="exact"/>
              <w:jc w:val="center"/>
              <w:rPr>
                <w:szCs w:val="21"/>
              </w:rPr>
            </w:pPr>
          </w:p>
        </w:tc>
        <w:tc>
          <w:tcPr>
            <w:tcW w:w="1064" w:type="dxa"/>
          </w:tcPr>
          <w:p>
            <w:pPr>
              <w:spacing w:line="440" w:lineRule="exact"/>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 w:type="dxa"/>
          </w:tcPr>
          <w:p>
            <w:pPr>
              <w:spacing w:line="440" w:lineRule="exact"/>
              <w:jc w:val="center"/>
              <w:rPr>
                <w:szCs w:val="21"/>
              </w:rPr>
            </w:pPr>
          </w:p>
        </w:tc>
        <w:tc>
          <w:tcPr>
            <w:tcW w:w="1304" w:type="dxa"/>
          </w:tcPr>
          <w:p>
            <w:pPr>
              <w:spacing w:line="440" w:lineRule="exact"/>
              <w:jc w:val="center"/>
              <w:rPr>
                <w:szCs w:val="21"/>
              </w:rPr>
            </w:pPr>
          </w:p>
        </w:tc>
        <w:tc>
          <w:tcPr>
            <w:tcW w:w="1065" w:type="dxa"/>
          </w:tcPr>
          <w:p>
            <w:pPr>
              <w:spacing w:line="440" w:lineRule="exact"/>
              <w:jc w:val="center"/>
              <w:rPr>
                <w:szCs w:val="21"/>
              </w:rPr>
            </w:pPr>
          </w:p>
        </w:tc>
        <w:tc>
          <w:tcPr>
            <w:tcW w:w="1065" w:type="dxa"/>
          </w:tcPr>
          <w:p>
            <w:pPr>
              <w:spacing w:line="440" w:lineRule="exact"/>
              <w:jc w:val="center"/>
              <w:rPr>
                <w:szCs w:val="21"/>
              </w:rPr>
            </w:pPr>
          </w:p>
        </w:tc>
        <w:tc>
          <w:tcPr>
            <w:tcW w:w="1065" w:type="dxa"/>
          </w:tcPr>
          <w:p>
            <w:pPr>
              <w:spacing w:line="440" w:lineRule="exact"/>
              <w:jc w:val="center"/>
              <w:rPr>
                <w:szCs w:val="21"/>
              </w:rPr>
            </w:pPr>
          </w:p>
        </w:tc>
        <w:tc>
          <w:tcPr>
            <w:tcW w:w="1065" w:type="dxa"/>
          </w:tcPr>
          <w:p>
            <w:pPr>
              <w:spacing w:line="440" w:lineRule="exact"/>
              <w:jc w:val="center"/>
              <w:rPr>
                <w:szCs w:val="21"/>
              </w:rPr>
            </w:pPr>
          </w:p>
        </w:tc>
        <w:tc>
          <w:tcPr>
            <w:tcW w:w="1065" w:type="dxa"/>
          </w:tcPr>
          <w:p>
            <w:pPr>
              <w:spacing w:line="440" w:lineRule="exact"/>
              <w:jc w:val="center"/>
              <w:rPr>
                <w:szCs w:val="21"/>
              </w:rPr>
            </w:pPr>
          </w:p>
        </w:tc>
        <w:tc>
          <w:tcPr>
            <w:tcW w:w="1064" w:type="dxa"/>
          </w:tcPr>
          <w:p>
            <w:pPr>
              <w:spacing w:line="440" w:lineRule="exact"/>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 w:type="dxa"/>
          </w:tcPr>
          <w:p>
            <w:pPr>
              <w:spacing w:line="440" w:lineRule="exact"/>
              <w:jc w:val="center"/>
              <w:rPr>
                <w:szCs w:val="21"/>
              </w:rPr>
            </w:pPr>
          </w:p>
        </w:tc>
        <w:tc>
          <w:tcPr>
            <w:tcW w:w="1304" w:type="dxa"/>
          </w:tcPr>
          <w:p>
            <w:pPr>
              <w:spacing w:line="440" w:lineRule="exact"/>
              <w:jc w:val="center"/>
              <w:rPr>
                <w:szCs w:val="21"/>
              </w:rPr>
            </w:pPr>
          </w:p>
        </w:tc>
        <w:tc>
          <w:tcPr>
            <w:tcW w:w="1065" w:type="dxa"/>
          </w:tcPr>
          <w:p>
            <w:pPr>
              <w:spacing w:line="440" w:lineRule="exact"/>
              <w:jc w:val="center"/>
              <w:rPr>
                <w:szCs w:val="21"/>
              </w:rPr>
            </w:pPr>
          </w:p>
        </w:tc>
        <w:tc>
          <w:tcPr>
            <w:tcW w:w="1065" w:type="dxa"/>
          </w:tcPr>
          <w:p>
            <w:pPr>
              <w:spacing w:line="440" w:lineRule="exact"/>
              <w:jc w:val="center"/>
              <w:rPr>
                <w:szCs w:val="21"/>
              </w:rPr>
            </w:pPr>
          </w:p>
        </w:tc>
        <w:tc>
          <w:tcPr>
            <w:tcW w:w="1065" w:type="dxa"/>
          </w:tcPr>
          <w:p>
            <w:pPr>
              <w:spacing w:line="440" w:lineRule="exact"/>
              <w:jc w:val="center"/>
              <w:rPr>
                <w:szCs w:val="21"/>
              </w:rPr>
            </w:pPr>
          </w:p>
        </w:tc>
        <w:tc>
          <w:tcPr>
            <w:tcW w:w="1065" w:type="dxa"/>
          </w:tcPr>
          <w:p>
            <w:pPr>
              <w:spacing w:line="440" w:lineRule="exact"/>
              <w:jc w:val="center"/>
              <w:rPr>
                <w:szCs w:val="21"/>
              </w:rPr>
            </w:pPr>
          </w:p>
        </w:tc>
        <w:tc>
          <w:tcPr>
            <w:tcW w:w="1065" w:type="dxa"/>
          </w:tcPr>
          <w:p>
            <w:pPr>
              <w:spacing w:line="440" w:lineRule="exact"/>
              <w:jc w:val="center"/>
              <w:rPr>
                <w:szCs w:val="21"/>
              </w:rPr>
            </w:pPr>
          </w:p>
        </w:tc>
        <w:tc>
          <w:tcPr>
            <w:tcW w:w="1064" w:type="dxa"/>
          </w:tcPr>
          <w:p>
            <w:pPr>
              <w:spacing w:line="440" w:lineRule="exact"/>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 w:type="dxa"/>
          </w:tcPr>
          <w:p>
            <w:pPr>
              <w:spacing w:line="440" w:lineRule="exact"/>
              <w:jc w:val="center"/>
              <w:rPr>
                <w:szCs w:val="21"/>
              </w:rPr>
            </w:pPr>
          </w:p>
        </w:tc>
        <w:tc>
          <w:tcPr>
            <w:tcW w:w="1304" w:type="dxa"/>
          </w:tcPr>
          <w:p>
            <w:pPr>
              <w:spacing w:line="440" w:lineRule="exact"/>
              <w:jc w:val="center"/>
              <w:rPr>
                <w:szCs w:val="21"/>
              </w:rPr>
            </w:pPr>
          </w:p>
        </w:tc>
        <w:tc>
          <w:tcPr>
            <w:tcW w:w="1065" w:type="dxa"/>
          </w:tcPr>
          <w:p>
            <w:pPr>
              <w:spacing w:line="440" w:lineRule="exact"/>
              <w:jc w:val="center"/>
              <w:rPr>
                <w:szCs w:val="21"/>
              </w:rPr>
            </w:pPr>
          </w:p>
        </w:tc>
        <w:tc>
          <w:tcPr>
            <w:tcW w:w="1065" w:type="dxa"/>
          </w:tcPr>
          <w:p>
            <w:pPr>
              <w:spacing w:line="440" w:lineRule="exact"/>
              <w:jc w:val="center"/>
              <w:rPr>
                <w:szCs w:val="21"/>
              </w:rPr>
            </w:pPr>
          </w:p>
        </w:tc>
        <w:tc>
          <w:tcPr>
            <w:tcW w:w="1065" w:type="dxa"/>
          </w:tcPr>
          <w:p>
            <w:pPr>
              <w:spacing w:line="440" w:lineRule="exact"/>
              <w:jc w:val="center"/>
              <w:rPr>
                <w:szCs w:val="21"/>
              </w:rPr>
            </w:pPr>
          </w:p>
        </w:tc>
        <w:tc>
          <w:tcPr>
            <w:tcW w:w="1065" w:type="dxa"/>
          </w:tcPr>
          <w:p>
            <w:pPr>
              <w:spacing w:line="440" w:lineRule="exact"/>
              <w:jc w:val="center"/>
              <w:rPr>
                <w:szCs w:val="21"/>
              </w:rPr>
            </w:pPr>
          </w:p>
        </w:tc>
        <w:tc>
          <w:tcPr>
            <w:tcW w:w="1065" w:type="dxa"/>
          </w:tcPr>
          <w:p>
            <w:pPr>
              <w:spacing w:line="440" w:lineRule="exact"/>
              <w:jc w:val="center"/>
              <w:rPr>
                <w:szCs w:val="21"/>
              </w:rPr>
            </w:pPr>
          </w:p>
        </w:tc>
        <w:tc>
          <w:tcPr>
            <w:tcW w:w="1064" w:type="dxa"/>
          </w:tcPr>
          <w:p>
            <w:pPr>
              <w:spacing w:line="440" w:lineRule="exact"/>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 w:type="dxa"/>
          </w:tcPr>
          <w:p>
            <w:pPr>
              <w:spacing w:line="440" w:lineRule="exact"/>
              <w:jc w:val="center"/>
              <w:rPr>
                <w:szCs w:val="21"/>
              </w:rPr>
            </w:pPr>
          </w:p>
        </w:tc>
        <w:tc>
          <w:tcPr>
            <w:tcW w:w="1304" w:type="dxa"/>
          </w:tcPr>
          <w:p>
            <w:pPr>
              <w:spacing w:line="440" w:lineRule="exact"/>
              <w:jc w:val="center"/>
              <w:rPr>
                <w:szCs w:val="21"/>
              </w:rPr>
            </w:pPr>
          </w:p>
        </w:tc>
        <w:tc>
          <w:tcPr>
            <w:tcW w:w="1065" w:type="dxa"/>
          </w:tcPr>
          <w:p>
            <w:pPr>
              <w:spacing w:line="440" w:lineRule="exact"/>
              <w:jc w:val="center"/>
              <w:rPr>
                <w:szCs w:val="21"/>
              </w:rPr>
            </w:pPr>
          </w:p>
        </w:tc>
        <w:tc>
          <w:tcPr>
            <w:tcW w:w="1065" w:type="dxa"/>
          </w:tcPr>
          <w:p>
            <w:pPr>
              <w:spacing w:line="440" w:lineRule="exact"/>
              <w:jc w:val="center"/>
              <w:rPr>
                <w:szCs w:val="21"/>
              </w:rPr>
            </w:pPr>
          </w:p>
        </w:tc>
        <w:tc>
          <w:tcPr>
            <w:tcW w:w="1065" w:type="dxa"/>
          </w:tcPr>
          <w:p>
            <w:pPr>
              <w:spacing w:line="440" w:lineRule="exact"/>
              <w:jc w:val="center"/>
              <w:rPr>
                <w:szCs w:val="21"/>
              </w:rPr>
            </w:pPr>
          </w:p>
        </w:tc>
        <w:tc>
          <w:tcPr>
            <w:tcW w:w="1065" w:type="dxa"/>
          </w:tcPr>
          <w:p>
            <w:pPr>
              <w:spacing w:line="440" w:lineRule="exact"/>
              <w:jc w:val="center"/>
              <w:rPr>
                <w:szCs w:val="21"/>
              </w:rPr>
            </w:pPr>
          </w:p>
        </w:tc>
        <w:tc>
          <w:tcPr>
            <w:tcW w:w="1065" w:type="dxa"/>
          </w:tcPr>
          <w:p>
            <w:pPr>
              <w:spacing w:line="440" w:lineRule="exact"/>
              <w:jc w:val="center"/>
              <w:rPr>
                <w:szCs w:val="21"/>
              </w:rPr>
            </w:pPr>
          </w:p>
        </w:tc>
        <w:tc>
          <w:tcPr>
            <w:tcW w:w="1064" w:type="dxa"/>
          </w:tcPr>
          <w:p>
            <w:pPr>
              <w:spacing w:line="440" w:lineRule="exact"/>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 w:type="dxa"/>
          </w:tcPr>
          <w:p>
            <w:pPr>
              <w:spacing w:line="440" w:lineRule="exact"/>
              <w:jc w:val="center"/>
              <w:rPr>
                <w:szCs w:val="21"/>
              </w:rPr>
            </w:pPr>
          </w:p>
        </w:tc>
        <w:tc>
          <w:tcPr>
            <w:tcW w:w="1304" w:type="dxa"/>
          </w:tcPr>
          <w:p>
            <w:pPr>
              <w:spacing w:line="440" w:lineRule="exact"/>
              <w:jc w:val="center"/>
              <w:rPr>
                <w:szCs w:val="21"/>
              </w:rPr>
            </w:pPr>
          </w:p>
        </w:tc>
        <w:tc>
          <w:tcPr>
            <w:tcW w:w="1065" w:type="dxa"/>
          </w:tcPr>
          <w:p>
            <w:pPr>
              <w:spacing w:line="440" w:lineRule="exact"/>
              <w:jc w:val="center"/>
              <w:rPr>
                <w:szCs w:val="21"/>
              </w:rPr>
            </w:pPr>
          </w:p>
        </w:tc>
        <w:tc>
          <w:tcPr>
            <w:tcW w:w="1065" w:type="dxa"/>
          </w:tcPr>
          <w:p>
            <w:pPr>
              <w:spacing w:line="440" w:lineRule="exact"/>
              <w:jc w:val="center"/>
              <w:rPr>
                <w:szCs w:val="21"/>
              </w:rPr>
            </w:pPr>
          </w:p>
        </w:tc>
        <w:tc>
          <w:tcPr>
            <w:tcW w:w="1065" w:type="dxa"/>
          </w:tcPr>
          <w:p>
            <w:pPr>
              <w:spacing w:line="440" w:lineRule="exact"/>
              <w:jc w:val="center"/>
              <w:rPr>
                <w:szCs w:val="21"/>
              </w:rPr>
            </w:pPr>
          </w:p>
        </w:tc>
        <w:tc>
          <w:tcPr>
            <w:tcW w:w="1065" w:type="dxa"/>
          </w:tcPr>
          <w:p>
            <w:pPr>
              <w:spacing w:line="440" w:lineRule="exact"/>
              <w:jc w:val="center"/>
              <w:rPr>
                <w:szCs w:val="21"/>
              </w:rPr>
            </w:pPr>
          </w:p>
        </w:tc>
        <w:tc>
          <w:tcPr>
            <w:tcW w:w="1065" w:type="dxa"/>
          </w:tcPr>
          <w:p>
            <w:pPr>
              <w:spacing w:line="440" w:lineRule="exact"/>
              <w:jc w:val="center"/>
              <w:rPr>
                <w:szCs w:val="21"/>
              </w:rPr>
            </w:pPr>
          </w:p>
        </w:tc>
        <w:tc>
          <w:tcPr>
            <w:tcW w:w="1064" w:type="dxa"/>
          </w:tcPr>
          <w:p>
            <w:pPr>
              <w:spacing w:line="440" w:lineRule="exact"/>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 w:type="dxa"/>
          </w:tcPr>
          <w:p>
            <w:pPr>
              <w:spacing w:line="440" w:lineRule="exact"/>
              <w:jc w:val="center"/>
              <w:rPr>
                <w:szCs w:val="21"/>
              </w:rPr>
            </w:pPr>
          </w:p>
        </w:tc>
        <w:tc>
          <w:tcPr>
            <w:tcW w:w="1304" w:type="dxa"/>
          </w:tcPr>
          <w:p>
            <w:pPr>
              <w:spacing w:line="440" w:lineRule="exact"/>
              <w:jc w:val="center"/>
              <w:rPr>
                <w:szCs w:val="21"/>
              </w:rPr>
            </w:pPr>
          </w:p>
        </w:tc>
        <w:tc>
          <w:tcPr>
            <w:tcW w:w="1065" w:type="dxa"/>
          </w:tcPr>
          <w:p>
            <w:pPr>
              <w:spacing w:line="440" w:lineRule="exact"/>
              <w:jc w:val="center"/>
              <w:rPr>
                <w:szCs w:val="21"/>
              </w:rPr>
            </w:pPr>
          </w:p>
        </w:tc>
        <w:tc>
          <w:tcPr>
            <w:tcW w:w="1065" w:type="dxa"/>
          </w:tcPr>
          <w:p>
            <w:pPr>
              <w:spacing w:line="440" w:lineRule="exact"/>
              <w:jc w:val="center"/>
              <w:rPr>
                <w:szCs w:val="21"/>
              </w:rPr>
            </w:pPr>
          </w:p>
        </w:tc>
        <w:tc>
          <w:tcPr>
            <w:tcW w:w="1065" w:type="dxa"/>
          </w:tcPr>
          <w:p>
            <w:pPr>
              <w:spacing w:line="440" w:lineRule="exact"/>
              <w:jc w:val="center"/>
              <w:rPr>
                <w:szCs w:val="21"/>
              </w:rPr>
            </w:pPr>
          </w:p>
        </w:tc>
        <w:tc>
          <w:tcPr>
            <w:tcW w:w="1065" w:type="dxa"/>
          </w:tcPr>
          <w:p>
            <w:pPr>
              <w:spacing w:line="440" w:lineRule="exact"/>
              <w:jc w:val="center"/>
              <w:rPr>
                <w:szCs w:val="21"/>
              </w:rPr>
            </w:pPr>
          </w:p>
        </w:tc>
        <w:tc>
          <w:tcPr>
            <w:tcW w:w="1065" w:type="dxa"/>
          </w:tcPr>
          <w:p>
            <w:pPr>
              <w:spacing w:line="440" w:lineRule="exact"/>
              <w:jc w:val="center"/>
              <w:rPr>
                <w:szCs w:val="21"/>
              </w:rPr>
            </w:pPr>
          </w:p>
        </w:tc>
        <w:tc>
          <w:tcPr>
            <w:tcW w:w="1064" w:type="dxa"/>
          </w:tcPr>
          <w:p>
            <w:pPr>
              <w:spacing w:line="440" w:lineRule="exact"/>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 w:type="dxa"/>
          </w:tcPr>
          <w:p>
            <w:pPr>
              <w:spacing w:line="440" w:lineRule="exact"/>
              <w:jc w:val="center"/>
              <w:rPr>
                <w:szCs w:val="21"/>
              </w:rPr>
            </w:pPr>
          </w:p>
        </w:tc>
        <w:tc>
          <w:tcPr>
            <w:tcW w:w="1304" w:type="dxa"/>
          </w:tcPr>
          <w:p>
            <w:pPr>
              <w:spacing w:line="440" w:lineRule="exact"/>
              <w:jc w:val="center"/>
              <w:rPr>
                <w:szCs w:val="21"/>
              </w:rPr>
            </w:pPr>
          </w:p>
        </w:tc>
        <w:tc>
          <w:tcPr>
            <w:tcW w:w="1065" w:type="dxa"/>
          </w:tcPr>
          <w:p>
            <w:pPr>
              <w:spacing w:line="440" w:lineRule="exact"/>
              <w:jc w:val="center"/>
              <w:rPr>
                <w:szCs w:val="21"/>
              </w:rPr>
            </w:pPr>
          </w:p>
        </w:tc>
        <w:tc>
          <w:tcPr>
            <w:tcW w:w="1065" w:type="dxa"/>
          </w:tcPr>
          <w:p>
            <w:pPr>
              <w:spacing w:line="440" w:lineRule="exact"/>
              <w:jc w:val="center"/>
              <w:rPr>
                <w:szCs w:val="21"/>
              </w:rPr>
            </w:pPr>
          </w:p>
        </w:tc>
        <w:tc>
          <w:tcPr>
            <w:tcW w:w="1065" w:type="dxa"/>
          </w:tcPr>
          <w:p>
            <w:pPr>
              <w:spacing w:line="440" w:lineRule="exact"/>
              <w:jc w:val="center"/>
              <w:rPr>
                <w:szCs w:val="21"/>
              </w:rPr>
            </w:pPr>
          </w:p>
        </w:tc>
        <w:tc>
          <w:tcPr>
            <w:tcW w:w="1065" w:type="dxa"/>
          </w:tcPr>
          <w:p>
            <w:pPr>
              <w:spacing w:line="440" w:lineRule="exact"/>
              <w:jc w:val="center"/>
              <w:rPr>
                <w:szCs w:val="21"/>
              </w:rPr>
            </w:pPr>
          </w:p>
        </w:tc>
        <w:tc>
          <w:tcPr>
            <w:tcW w:w="1065" w:type="dxa"/>
          </w:tcPr>
          <w:p>
            <w:pPr>
              <w:spacing w:line="440" w:lineRule="exact"/>
              <w:jc w:val="center"/>
              <w:rPr>
                <w:szCs w:val="21"/>
              </w:rPr>
            </w:pPr>
          </w:p>
        </w:tc>
        <w:tc>
          <w:tcPr>
            <w:tcW w:w="1064" w:type="dxa"/>
          </w:tcPr>
          <w:p>
            <w:pPr>
              <w:spacing w:line="440" w:lineRule="exact"/>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 w:type="dxa"/>
          </w:tcPr>
          <w:p>
            <w:pPr>
              <w:spacing w:line="440" w:lineRule="exact"/>
              <w:jc w:val="center"/>
              <w:rPr>
                <w:szCs w:val="21"/>
              </w:rPr>
            </w:pPr>
          </w:p>
        </w:tc>
        <w:tc>
          <w:tcPr>
            <w:tcW w:w="1304" w:type="dxa"/>
          </w:tcPr>
          <w:p>
            <w:pPr>
              <w:spacing w:line="440" w:lineRule="exact"/>
              <w:jc w:val="center"/>
              <w:rPr>
                <w:szCs w:val="21"/>
              </w:rPr>
            </w:pPr>
          </w:p>
        </w:tc>
        <w:tc>
          <w:tcPr>
            <w:tcW w:w="1065" w:type="dxa"/>
          </w:tcPr>
          <w:p>
            <w:pPr>
              <w:spacing w:line="440" w:lineRule="exact"/>
              <w:jc w:val="center"/>
              <w:rPr>
                <w:szCs w:val="21"/>
              </w:rPr>
            </w:pPr>
          </w:p>
        </w:tc>
        <w:tc>
          <w:tcPr>
            <w:tcW w:w="1065" w:type="dxa"/>
          </w:tcPr>
          <w:p>
            <w:pPr>
              <w:spacing w:line="440" w:lineRule="exact"/>
              <w:jc w:val="center"/>
              <w:rPr>
                <w:szCs w:val="21"/>
              </w:rPr>
            </w:pPr>
          </w:p>
        </w:tc>
        <w:tc>
          <w:tcPr>
            <w:tcW w:w="1065" w:type="dxa"/>
          </w:tcPr>
          <w:p>
            <w:pPr>
              <w:spacing w:line="440" w:lineRule="exact"/>
              <w:jc w:val="center"/>
              <w:rPr>
                <w:szCs w:val="21"/>
              </w:rPr>
            </w:pPr>
          </w:p>
        </w:tc>
        <w:tc>
          <w:tcPr>
            <w:tcW w:w="1065" w:type="dxa"/>
          </w:tcPr>
          <w:p>
            <w:pPr>
              <w:spacing w:line="440" w:lineRule="exact"/>
              <w:jc w:val="center"/>
              <w:rPr>
                <w:szCs w:val="21"/>
              </w:rPr>
            </w:pPr>
          </w:p>
        </w:tc>
        <w:tc>
          <w:tcPr>
            <w:tcW w:w="1065" w:type="dxa"/>
          </w:tcPr>
          <w:p>
            <w:pPr>
              <w:spacing w:line="440" w:lineRule="exact"/>
              <w:jc w:val="center"/>
              <w:rPr>
                <w:szCs w:val="21"/>
              </w:rPr>
            </w:pPr>
          </w:p>
        </w:tc>
        <w:tc>
          <w:tcPr>
            <w:tcW w:w="1064" w:type="dxa"/>
          </w:tcPr>
          <w:p>
            <w:pPr>
              <w:spacing w:line="440" w:lineRule="exact"/>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 w:type="dxa"/>
          </w:tcPr>
          <w:p>
            <w:pPr>
              <w:spacing w:line="440" w:lineRule="exact"/>
              <w:jc w:val="center"/>
              <w:rPr>
                <w:szCs w:val="21"/>
              </w:rPr>
            </w:pPr>
          </w:p>
        </w:tc>
        <w:tc>
          <w:tcPr>
            <w:tcW w:w="1304" w:type="dxa"/>
          </w:tcPr>
          <w:p>
            <w:pPr>
              <w:spacing w:line="440" w:lineRule="exact"/>
              <w:jc w:val="center"/>
              <w:rPr>
                <w:szCs w:val="21"/>
              </w:rPr>
            </w:pPr>
          </w:p>
        </w:tc>
        <w:tc>
          <w:tcPr>
            <w:tcW w:w="1065" w:type="dxa"/>
          </w:tcPr>
          <w:p>
            <w:pPr>
              <w:spacing w:line="440" w:lineRule="exact"/>
              <w:jc w:val="center"/>
              <w:rPr>
                <w:szCs w:val="21"/>
              </w:rPr>
            </w:pPr>
          </w:p>
        </w:tc>
        <w:tc>
          <w:tcPr>
            <w:tcW w:w="1065" w:type="dxa"/>
          </w:tcPr>
          <w:p>
            <w:pPr>
              <w:spacing w:line="440" w:lineRule="exact"/>
              <w:jc w:val="center"/>
              <w:rPr>
                <w:szCs w:val="21"/>
              </w:rPr>
            </w:pPr>
          </w:p>
        </w:tc>
        <w:tc>
          <w:tcPr>
            <w:tcW w:w="1065" w:type="dxa"/>
          </w:tcPr>
          <w:p>
            <w:pPr>
              <w:spacing w:line="440" w:lineRule="exact"/>
              <w:jc w:val="center"/>
              <w:rPr>
                <w:szCs w:val="21"/>
              </w:rPr>
            </w:pPr>
          </w:p>
        </w:tc>
        <w:tc>
          <w:tcPr>
            <w:tcW w:w="1065" w:type="dxa"/>
          </w:tcPr>
          <w:p>
            <w:pPr>
              <w:spacing w:line="440" w:lineRule="exact"/>
              <w:jc w:val="center"/>
              <w:rPr>
                <w:szCs w:val="21"/>
              </w:rPr>
            </w:pPr>
          </w:p>
        </w:tc>
        <w:tc>
          <w:tcPr>
            <w:tcW w:w="1065" w:type="dxa"/>
          </w:tcPr>
          <w:p>
            <w:pPr>
              <w:spacing w:line="440" w:lineRule="exact"/>
              <w:jc w:val="center"/>
              <w:rPr>
                <w:szCs w:val="21"/>
              </w:rPr>
            </w:pPr>
          </w:p>
        </w:tc>
        <w:tc>
          <w:tcPr>
            <w:tcW w:w="1064" w:type="dxa"/>
          </w:tcPr>
          <w:p>
            <w:pPr>
              <w:spacing w:line="440" w:lineRule="exact"/>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 w:type="dxa"/>
          </w:tcPr>
          <w:p>
            <w:pPr>
              <w:spacing w:line="440" w:lineRule="exact"/>
              <w:jc w:val="center"/>
              <w:rPr>
                <w:szCs w:val="21"/>
              </w:rPr>
            </w:pPr>
          </w:p>
        </w:tc>
        <w:tc>
          <w:tcPr>
            <w:tcW w:w="1304" w:type="dxa"/>
          </w:tcPr>
          <w:p>
            <w:pPr>
              <w:spacing w:line="440" w:lineRule="exact"/>
              <w:jc w:val="center"/>
              <w:rPr>
                <w:szCs w:val="21"/>
              </w:rPr>
            </w:pPr>
          </w:p>
        </w:tc>
        <w:tc>
          <w:tcPr>
            <w:tcW w:w="1065" w:type="dxa"/>
          </w:tcPr>
          <w:p>
            <w:pPr>
              <w:spacing w:line="440" w:lineRule="exact"/>
              <w:jc w:val="center"/>
              <w:rPr>
                <w:szCs w:val="21"/>
              </w:rPr>
            </w:pPr>
          </w:p>
        </w:tc>
        <w:tc>
          <w:tcPr>
            <w:tcW w:w="1065" w:type="dxa"/>
          </w:tcPr>
          <w:p>
            <w:pPr>
              <w:spacing w:line="440" w:lineRule="exact"/>
              <w:jc w:val="center"/>
              <w:rPr>
                <w:szCs w:val="21"/>
              </w:rPr>
            </w:pPr>
          </w:p>
        </w:tc>
        <w:tc>
          <w:tcPr>
            <w:tcW w:w="1065" w:type="dxa"/>
          </w:tcPr>
          <w:p>
            <w:pPr>
              <w:spacing w:line="440" w:lineRule="exact"/>
              <w:jc w:val="center"/>
              <w:rPr>
                <w:szCs w:val="21"/>
              </w:rPr>
            </w:pPr>
          </w:p>
        </w:tc>
        <w:tc>
          <w:tcPr>
            <w:tcW w:w="1065" w:type="dxa"/>
          </w:tcPr>
          <w:p>
            <w:pPr>
              <w:spacing w:line="440" w:lineRule="exact"/>
              <w:jc w:val="center"/>
              <w:rPr>
                <w:szCs w:val="21"/>
              </w:rPr>
            </w:pPr>
          </w:p>
        </w:tc>
        <w:tc>
          <w:tcPr>
            <w:tcW w:w="1065" w:type="dxa"/>
          </w:tcPr>
          <w:p>
            <w:pPr>
              <w:spacing w:line="440" w:lineRule="exact"/>
              <w:jc w:val="center"/>
              <w:rPr>
                <w:szCs w:val="21"/>
              </w:rPr>
            </w:pPr>
          </w:p>
        </w:tc>
        <w:tc>
          <w:tcPr>
            <w:tcW w:w="1064" w:type="dxa"/>
          </w:tcPr>
          <w:p>
            <w:pPr>
              <w:spacing w:line="440" w:lineRule="exact"/>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 w:type="dxa"/>
          </w:tcPr>
          <w:p>
            <w:pPr>
              <w:spacing w:line="440" w:lineRule="exact"/>
              <w:rPr>
                <w:szCs w:val="21"/>
              </w:rPr>
            </w:pPr>
          </w:p>
        </w:tc>
        <w:tc>
          <w:tcPr>
            <w:tcW w:w="1304" w:type="dxa"/>
          </w:tcPr>
          <w:p>
            <w:pPr>
              <w:spacing w:line="440" w:lineRule="exact"/>
              <w:jc w:val="center"/>
              <w:rPr>
                <w:szCs w:val="21"/>
              </w:rPr>
            </w:pPr>
          </w:p>
        </w:tc>
        <w:tc>
          <w:tcPr>
            <w:tcW w:w="1065" w:type="dxa"/>
          </w:tcPr>
          <w:p>
            <w:pPr>
              <w:spacing w:line="440" w:lineRule="exact"/>
              <w:jc w:val="center"/>
              <w:rPr>
                <w:szCs w:val="21"/>
              </w:rPr>
            </w:pPr>
          </w:p>
        </w:tc>
        <w:tc>
          <w:tcPr>
            <w:tcW w:w="1065" w:type="dxa"/>
          </w:tcPr>
          <w:p>
            <w:pPr>
              <w:spacing w:line="440" w:lineRule="exact"/>
              <w:jc w:val="center"/>
              <w:rPr>
                <w:szCs w:val="21"/>
              </w:rPr>
            </w:pPr>
          </w:p>
        </w:tc>
        <w:tc>
          <w:tcPr>
            <w:tcW w:w="1065" w:type="dxa"/>
          </w:tcPr>
          <w:p>
            <w:pPr>
              <w:spacing w:line="440" w:lineRule="exact"/>
              <w:jc w:val="center"/>
              <w:rPr>
                <w:szCs w:val="21"/>
              </w:rPr>
            </w:pPr>
          </w:p>
        </w:tc>
        <w:tc>
          <w:tcPr>
            <w:tcW w:w="1065" w:type="dxa"/>
          </w:tcPr>
          <w:p>
            <w:pPr>
              <w:spacing w:line="440" w:lineRule="exact"/>
              <w:jc w:val="center"/>
              <w:rPr>
                <w:szCs w:val="21"/>
              </w:rPr>
            </w:pPr>
          </w:p>
        </w:tc>
        <w:tc>
          <w:tcPr>
            <w:tcW w:w="1065" w:type="dxa"/>
          </w:tcPr>
          <w:p>
            <w:pPr>
              <w:spacing w:line="440" w:lineRule="exact"/>
              <w:jc w:val="center"/>
              <w:rPr>
                <w:szCs w:val="21"/>
              </w:rPr>
            </w:pPr>
          </w:p>
        </w:tc>
        <w:tc>
          <w:tcPr>
            <w:tcW w:w="1064" w:type="dxa"/>
          </w:tcPr>
          <w:p>
            <w:pPr>
              <w:spacing w:line="440" w:lineRule="exact"/>
              <w:jc w:val="center"/>
              <w:rPr>
                <w:szCs w:val="21"/>
              </w:rPr>
            </w:pPr>
          </w:p>
        </w:tc>
      </w:tr>
    </w:tbl>
    <w:p>
      <w:pPr>
        <w:pStyle w:val="5"/>
        <w:ind w:firstLine="0" w:firstLineChars="0"/>
        <w:jc w:val="left"/>
      </w:pPr>
    </w:p>
    <w:p>
      <w:pPr>
        <w:widowControl/>
        <w:jc w:val="left"/>
      </w:pPr>
      <w:r>
        <w:br w:type="page"/>
      </w:r>
    </w:p>
    <w:p>
      <w:pPr>
        <w:pStyle w:val="6"/>
        <w:rPr>
          <w:sz w:val="28"/>
        </w:rPr>
      </w:pPr>
      <w:bookmarkStart w:id="91" w:name="_Toc296602612"/>
      <w:bookmarkStart w:id="92" w:name="_Toc247085885"/>
      <w:bookmarkStart w:id="93" w:name="_Toc43371504"/>
      <w:r>
        <w:rPr>
          <w:sz w:val="28"/>
        </w:rPr>
        <w:t>附表</w:t>
      </w:r>
      <w:r>
        <w:rPr>
          <w:rFonts w:hint="eastAsia"/>
          <w:sz w:val="28"/>
        </w:rPr>
        <w:t>三</w:t>
      </w:r>
      <w:r>
        <w:rPr>
          <w:sz w:val="28"/>
        </w:rPr>
        <w:t>：进度</w:t>
      </w:r>
      <w:r>
        <w:rPr>
          <w:rFonts w:hint="eastAsia"/>
          <w:sz w:val="28"/>
        </w:rPr>
        <w:t>计划</w:t>
      </w:r>
      <w:bookmarkEnd w:id="91"/>
      <w:bookmarkEnd w:id="92"/>
      <w:bookmarkEnd w:id="93"/>
    </w:p>
    <w:p>
      <w:pPr>
        <w:spacing w:line="440" w:lineRule="exact"/>
        <w:rPr>
          <w:rFonts w:eastAsia="黑体"/>
          <w:sz w:val="20"/>
          <w:szCs w:val="20"/>
        </w:rPr>
      </w:pPr>
    </w:p>
    <w:p>
      <w:pPr>
        <w:spacing w:line="360" w:lineRule="auto"/>
        <w:ind w:firstLine="420" w:firstLineChars="200"/>
        <w:rPr>
          <w:szCs w:val="21"/>
        </w:rPr>
      </w:pPr>
      <w:r>
        <w:rPr>
          <w:szCs w:val="21"/>
        </w:rPr>
        <w:t xml:space="preserve">1. </w:t>
      </w:r>
      <w:r>
        <w:rPr>
          <w:rFonts w:hint="eastAsia"/>
          <w:szCs w:val="21"/>
          <w:lang w:eastAsia="zh-CN"/>
        </w:rPr>
        <w:t>响应人</w:t>
      </w:r>
      <w:r>
        <w:rPr>
          <w:szCs w:val="21"/>
        </w:rPr>
        <w:t>应提交施工进度网络图或施工进度表，说明按磋商文件要求的计划工期进行施工的各个关键日期。</w:t>
      </w:r>
    </w:p>
    <w:p>
      <w:pPr>
        <w:pStyle w:val="5"/>
        <w:spacing w:line="360" w:lineRule="auto"/>
        <w:jc w:val="left"/>
      </w:pPr>
      <w:r>
        <w:rPr>
          <w:szCs w:val="21"/>
        </w:rPr>
        <w:t>2. 施</w:t>
      </w:r>
      <w:r>
        <w:rPr>
          <w:rFonts w:hint="eastAsia"/>
          <w:szCs w:val="21"/>
        </w:rPr>
        <w:t>工</w:t>
      </w:r>
      <w:r>
        <w:rPr>
          <w:szCs w:val="21"/>
        </w:rPr>
        <w:t>进度表可采用网络图或横道图表示。</w:t>
      </w:r>
    </w:p>
    <w:p>
      <w:pPr>
        <w:widowControl/>
        <w:jc w:val="left"/>
      </w:pPr>
      <w:r>
        <w:br w:type="page"/>
      </w:r>
    </w:p>
    <w:p>
      <w:pPr>
        <w:pStyle w:val="6"/>
        <w:rPr>
          <w:sz w:val="28"/>
        </w:rPr>
      </w:pPr>
      <w:bookmarkStart w:id="94" w:name="_Toc179632821"/>
      <w:bookmarkStart w:id="95" w:name="_Toc246997111"/>
      <w:bookmarkStart w:id="96" w:name="_Toc246996368"/>
      <w:bookmarkStart w:id="97" w:name="_Toc296602613"/>
      <w:bookmarkStart w:id="98" w:name="_Toc43371505"/>
      <w:bookmarkStart w:id="99" w:name="_Toc144974869"/>
      <w:bookmarkStart w:id="100" w:name="_Toc247085886"/>
      <w:bookmarkStart w:id="101" w:name="_Toc152042590"/>
      <w:bookmarkStart w:id="102" w:name="_Toc152045801"/>
      <w:r>
        <w:rPr>
          <w:sz w:val="28"/>
        </w:rPr>
        <w:t>附表</w:t>
      </w:r>
      <w:r>
        <w:rPr>
          <w:rFonts w:hint="eastAsia"/>
          <w:sz w:val="28"/>
        </w:rPr>
        <w:t>四</w:t>
      </w:r>
      <w:r>
        <w:rPr>
          <w:sz w:val="28"/>
        </w:rPr>
        <w:t>：施工总平面图</w:t>
      </w:r>
      <w:bookmarkEnd w:id="94"/>
      <w:bookmarkEnd w:id="95"/>
      <w:bookmarkEnd w:id="96"/>
      <w:bookmarkEnd w:id="97"/>
      <w:bookmarkEnd w:id="98"/>
      <w:bookmarkEnd w:id="99"/>
      <w:bookmarkEnd w:id="100"/>
      <w:bookmarkEnd w:id="101"/>
      <w:bookmarkEnd w:id="102"/>
    </w:p>
    <w:p>
      <w:pPr>
        <w:spacing w:line="440" w:lineRule="exact"/>
        <w:rPr>
          <w:rFonts w:eastAsia="黑体"/>
          <w:sz w:val="20"/>
          <w:szCs w:val="20"/>
        </w:rPr>
      </w:pPr>
      <w:r>
        <w:rPr>
          <w:rFonts w:eastAsia="黑体"/>
          <w:sz w:val="20"/>
          <w:szCs w:val="20"/>
        </w:rPr>
        <w:tab/>
      </w:r>
    </w:p>
    <w:p>
      <w:pPr>
        <w:pStyle w:val="5"/>
        <w:jc w:val="left"/>
      </w:pPr>
      <w:r>
        <w:rPr>
          <w:rFonts w:hint="eastAsia"/>
          <w:lang w:eastAsia="zh-CN"/>
        </w:rPr>
        <w:t>响应人</w:t>
      </w:r>
      <w:r>
        <w:t>应提交一份施工总平面图，绘出现场临时设施布置图表，</w:t>
      </w:r>
      <w:r>
        <w:rPr>
          <w:rFonts w:hint="eastAsia"/>
        </w:rPr>
        <w:t>并注</w:t>
      </w:r>
      <w:r>
        <w:t>明临时设施、加工车间、现场办公、设备及仓储、供电、供水、卫生、生活、道路、消防等设施的情况和布置。</w:t>
      </w:r>
    </w:p>
    <w:p>
      <w:pPr>
        <w:widowControl/>
        <w:jc w:val="left"/>
      </w:pPr>
      <w:r>
        <w:br w:type="page"/>
      </w:r>
    </w:p>
    <w:p>
      <w:pPr>
        <w:pStyle w:val="4"/>
        <w:spacing w:after="0"/>
        <w:rPr>
          <w:rFonts w:asciiTheme="minorEastAsia" w:hAnsiTheme="minorEastAsia" w:eastAsiaTheme="minorEastAsia"/>
          <w:sz w:val="28"/>
        </w:rPr>
      </w:pPr>
      <w:bookmarkStart w:id="103" w:name="_Toc43371506"/>
      <w:r>
        <w:rPr>
          <w:rFonts w:hint="eastAsia" w:asciiTheme="minorEastAsia" w:hAnsiTheme="minorEastAsia" w:eastAsiaTheme="minorEastAsia"/>
          <w:sz w:val="28"/>
        </w:rPr>
        <w:t>七、项目管理机构</w:t>
      </w:r>
      <w:bookmarkEnd w:id="103"/>
    </w:p>
    <w:p>
      <w:pPr>
        <w:pStyle w:val="6"/>
        <w:spacing w:before="0" w:after="0"/>
        <w:jc w:val="center"/>
        <w:rPr>
          <w:sz w:val="28"/>
        </w:rPr>
      </w:pPr>
      <w:bookmarkStart w:id="104" w:name="_Toc43371507"/>
      <w:r>
        <w:rPr>
          <w:rFonts w:hint="eastAsia"/>
          <w:sz w:val="28"/>
        </w:rPr>
        <w:t>（一）项目管理机构组成表</w:t>
      </w:r>
      <w:bookmarkEnd w:id="104"/>
    </w:p>
    <w:tbl>
      <w:tblPr>
        <w:tblStyle w:val="4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7"/>
        <w:gridCol w:w="721"/>
        <w:gridCol w:w="719"/>
        <w:gridCol w:w="1081"/>
        <w:gridCol w:w="719"/>
        <w:gridCol w:w="721"/>
        <w:gridCol w:w="719"/>
        <w:gridCol w:w="2523"/>
        <w:gridCol w:w="6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647" w:type="dxa"/>
            <w:vMerge w:val="restart"/>
            <w:vAlign w:val="center"/>
          </w:tcPr>
          <w:p>
            <w:pPr>
              <w:spacing w:line="440" w:lineRule="exact"/>
              <w:jc w:val="center"/>
              <w:rPr>
                <w:szCs w:val="21"/>
              </w:rPr>
            </w:pPr>
            <w:r>
              <w:rPr>
                <w:szCs w:val="21"/>
              </w:rPr>
              <w:t>职务</w:t>
            </w:r>
          </w:p>
        </w:tc>
        <w:tc>
          <w:tcPr>
            <w:tcW w:w="721" w:type="dxa"/>
            <w:vMerge w:val="restart"/>
            <w:vAlign w:val="center"/>
          </w:tcPr>
          <w:p>
            <w:pPr>
              <w:spacing w:line="440" w:lineRule="exact"/>
              <w:jc w:val="center"/>
              <w:rPr>
                <w:szCs w:val="21"/>
              </w:rPr>
            </w:pPr>
            <w:r>
              <w:rPr>
                <w:szCs w:val="21"/>
              </w:rPr>
              <w:t>姓名</w:t>
            </w:r>
          </w:p>
        </w:tc>
        <w:tc>
          <w:tcPr>
            <w:tcW w:w="719" w:type="dxa"/>
            <w:vMerge w:val="restart"/>
            <w:vAlign w:val="center"/>
          </w:tcPr>
          <w:p>
            <w:pPr>
              <w:spacing w:line="440" w:lineRule="exact"/>
              <w:jc w:val="center"/>
              <w:rPr>
                <w:szCs w:val="21"/>
              </w:rPr>
            </w:pPr>
            <w:r>
              <w:rPr>
                <w:szCs w:val="21"/>
              </w:rPr>
              <w:t>职称</w:t>
            </w:r>
          </w:p>
        </w:tc>
        <w:tc>
          <w:tcPr>
            <w:tcW w:w="5763" w:type="dxa"/>
            <w:gridSpan w:val="5"/>
            <w:vAlign w:val="center"/>
          </w:tcPr>
          <w:p>
            <w:pPr>
              <w:spacing w:line="440" w:lineRule="exact"/>
              <w:jc w:val="center"/>
              <w:rPr>
                <w:szCs w:val="21"/>
              </w:rPr>
            </w:pPr>
            <w:r>
              <w:rPr>
                <w:szCs w:val="21"/>
              </w:rPr>
              <w:t>执业或职业资格证明</w:t>
            </w:r>
          </w:p>
        </w:tc>
        <w:tc>
          <w:tcPr>
            <w:tcW w:w="672" w:type="dxa"/>
            <w:vAlign w:val="center"/>
          </w:tcPr>
          <w:p>
            <w:pPr>
              <w:spacing w:line="440" w:lineRule="exact"/>
              <w:jc w:val="center"/>
              <w:rPr>
                <w:szCs w:val="21"/>
              </w:rPr>
            </w:pPr>
            <w:r>
              <w:rPr>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647" w:type="dxa"/>
            <w:vMerge w:val="continue"/>
            <w:vAlign w:val="center"/>
          </w:tcPr>
          <w:p>
            <w:pPr>
              <w:spacing w:line="440" w:lineRule="exact"/>
              <w:jc w:val="center"/>
              <w:rPr>
                <w:szCs w:val="21"/>
              </w:rPr>
            </w:pPr>
          </w:p>
        </w:tc>
        <w:tc>
          <w:tcPr>
            <w:tcW w:w="721" w:type="dxa"/>
            <w:vMerge w:val="continue"/>
            <w:vAlign w:val="center"/>
          </w:tcPr>
          <w:p>
            <w:pPr>
              <w:spacing w:line="440" w:lineRule="exact"/>
              <w:jc w:val="center"/>
              <w:rPr>
                <w:szCs w:val="21"/>
              </w:rPr>
            </w:pPr>
          </w:p>
        </w:tc>
        <w:tc>
          <w:tcPr>
            <w:tcW w:w="719" w:type="dxa"/>
            <w:vMerge w:val="continue"/>
            <w:vAlign w:val="center"/>
          </w:tcPr>
          <w:p>
            <w:pPr>
              <w:spacing w:line="440" w:lineRule="exact"/>
              <w:jc w:val="center"/>
              <w:rPr>
                <w:szCs w:val="21"/>
              </w:rPr>
            </w:pPr>
          </w:p>
        </w:tc>
        <w:tc>
          <w:tcPr>
            <w:tcW w:w="1081" w:type="dxa"/>
            <w:vAlign w:val="center"/>
          </w:tcPr>
          <w:p>
            <w:pPr>
              <w:spacing w:line="440" w:lineRule="exact"/>
              <w:jc w:val="center"/>
              <w:rPr>
                <w:szCs w:val="21"/>
              </w:rPr>
            </w:pPr>
            <w:r>
              <w:rPr>
                <w:szCs w:val="21"/>
              </w:rPr>
              <w:t>证书名称</w:t>
            </w:r>
          </w:p>
        </w:tc>
        <w:tc>
          <w:tcPr>
            <w:tcW w:w="719" w:type="dxa"/>
            <w:vAlign w:val="center"/>
          </w:tcPr>
          <w:p>
            <w:pPr>
              <w:spacing w:line="440" w:lineRule="exact"/>
              <w:jc w:val="center"/>
              <w:rPr>
                <w:szCs w:val="21"/>
              </w:rPr>
            </w:pPr>
            <w:r>
              <w:rPr>
                <w:szCs w:val="21"/>
              </w:rPr>
              <w:t>级别</w:t>
            </w:r>
          </w:p>
        </w:tc>
        <w:tc>
          <w:tcPr>
            <w:tcW w:w="721" w:type="dxa"/>
            <w:vAlign w:val="center"/>
          </w:tcPr>
          <w:p>
            <w:pPr>
              <w:spacing w:line="440" w:lineRule="exact"/>
              <w:jc w:val="center"/>
              <w:rPr>
                <w:szCs w:val="21"/>
              </w:rPr>
            </w:pPr>
            <w:r>
              <w:rPr>
                <w:szCs w:val="21"/>
              </w:rPr>
              <w:t>证号</w:t>
            </w:r>
          </w:p>
        </w:tc>
        <w:tc>
          <w:tcPr>
            <w:tcW w:w="719" w:type="dxa"/>
            <w:vAlign w:val="center"/>
          </w:tcPr>
          <w:p>
            <w:pPr>
              <w:spacing w:line="440" w:lineRule="exact"/>
              <w:jc w:val="center"/>
              <w:rPr>
                <w:szCs w:val="21"/>
              </w:rPr>
            </w:pPr>
            <w:r>
              <w:rPr>
                <w:szCs w:val="21"/>
              </w:rPr>
              <w:t>专业</w:t>
            </w:r>
          </w:p>
        </w:tc>
        <w:tc>
          <w:tcPr>
            <w:tcW w:w="2523" w:type="dxa"/>
            <w:vAlign w:val="center"/>
          </w:tcPr>
          <w:p>
            <w:pPr>
              <w:spacing w:line="440" w:lineRule="exact"/>
              <w:jc w:val="center"/>
              <w:rPr>
                <w:szCs w:val="21"/>
              </w:rPr>
            </w:pPr>
            <w:r>
              <w:rPr>
                <w:szCs w:val="21"/>
              </w:rPr>
              <w:t>养老保险</w:t>
            </w:r>
          </w:p>
        </w:tc>
        <w:tc>
          <w:tcPr>
            <w:tcW w:w="672" w:type="dxa"/>
            <w:vAlign w:val="center"/>
          </w:tcPr>
          <w:p>
            <w:pPr>
              <w:spacing w:line="440" w:lineRule="exact"/>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7" w:type="dxa"/>
            <w:vAlign w:val="center"/>
          </w:tcPr>
          <w:p>
            <w:pPr>
              <w:spacing w:line="440" w:lineRule="exact"/>
              <w:jc w:val="center"/>
              <w:rPr>
                <w:szCs w:val="21"/>
              </w:rPr>
            </w:pPr>
          </w:p>
        </w:tc>
        <w:tc>
          <w:tcPr>
            <w:tcW w:w="721" w:type="dxa"/>
            <w:vAlign w:val="center"/>
          </w:tcPr>
          <w:p>
            <w:pPr>
              <w:spacing w:line="440" w:lineRule="exact"/>
              <w:jc w:val="center"/>
              <w:rPr>
                <w:szCs w:val="21"/>
              </w:rPr>
            </w:pPr>
          </w:p>
        </w:tc>
        <w:tc>
          <w:tcPr>
            <w:tcW w:w="719" w:type="dxa"/>
            <w:vAlign w:val="center"/>
          </w:tcPr>
          <w:p>
            <w:pPr>
              <w:spacing w:line="440" w:lineRule="exact"/>
              <w:jc w:val="center"/>
              <w:rPr>
                <w:szCs w:val="21"/>
              </w:rPr>
            </w:pPr>
          </w:p>
        </w:tc>
        <w:tc>
          <w:tcPr>
            <w:tcW w:w="1081" w:type="dxa"/>
            <w:vAlign w:val="center"/>
          </w:tcPr>
          <w:p>
            <w:pPr>
              <w:spacing w:line="440" w:lineRule="exact"/>
              <w:jc w:val="center"/>
              <w:rPr>
                <w:szCs w:val="21"/>
              </w:rPr>
            </w:pPr>
          </w:p>
        </w:tc>
        <w:tc>
          <w:tcPr>
            <w:tcW w:w="719" w:type="dxa"/>
            <w:vAlign w:val="center"/>
          </w:tcPr>
          <w:p>
            <w:pPr>
              <w:spacing w:line="440" w:lineRule="exact"/>
              <w:jc w:val="center"/>
              <w:rPr>
                <w:szCs w:val="21"/>
              </w:rPr>
            </w:pPr>
          </w:p>
        </w:tc>
        <w:tc>
          <w:tcPr>
            <w:tcW w:w="721" w:type="dxa"/>
            <w:vAlign w:val="center"/>
          </w:tcPr>
          <w:p>
            <w:pPr>
              <w:spacing w:line="440" w:lineRule="exact"/>
              <w:jc w:val="center"/>
              <w:rPr>
                <w:szCs w:val="21"/>
              </w:rPr>
            </w:pPr>
          </w:p>
        </w:tc>
        <w:tc>
          <w:tcPr>
            <w:tcW w:w="719" w:type="dxa"/>
            <w:vAlign w:val="center"/>
          </w:tcPr>
          <w:p>
            <w:pPr>
              <w:spacing w:line="440" w:lineRule="exact"/>
              <w:jc w:val="center"/>
              <w:rPr>
                <w:szCs w:val="21"/>
              </w:rPr>
            </w:pPr>
          </w:p>
        </w:tc>
        <w:tc>
          <w:tcPr>
            <w:tcW w:w="2523" w:type="dxa"/>
            <w:vAlign w:val="center"/>
          </w:tcPr>
          <w:p>
            <w:pPr>
              <w:spacing w:line="440" w:lineRule="exact"/>
              <w:jc w:val="center"/>
              <w:rPr>
                <w:szCs w:val="21"/>
              </w:rPr>
            </w:pPr>
          </w:p>
        </w:tc>
        <w:tc>
          <w:tcPr>
            <w:tcW w:w="672" w:type="dxa"/>
            <w:vAlign w:val="center"/>
          </w:tcPr>
          <w:p>
            <w:pPr>
              <w:spacing w:line="440" w:lineRule="exact"/>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7" w:type="dxa"/>
          </w:tcPr>
          <w:p>
            <w:pPr>
              <w:spacing w:line="440" w:lineRule="exact"/>
              <w:jc w:val="center"/>
              <w:rPr>
                <w:szCs w:val="21"/>
              </w:rPr>
            </w:pPr>
          </w:p>
        </w:tc>
        <w:tc>
          <w:tcPr>
            <w:tcW w:w="721" w:type="dxa"/>
          </w:tcPr>
          <w:p>
            <w:pPr>
              <w:spacing w:line="440" w:lineRule="exact"/>
              <w:jc w:val="center"/>
              <w:rPr>
                <w:szCs w:val="21"/>
              </w:rPr>
            </w:pPr>
          </w:p>
        </w:tc>
        <w:tc>
          <w:tcPr>
            <w:tcW w:w="719" w:type="dxa"/>
          </w:tcPr>
          <w:p>
            <w:pPr>
              <w:spacing w:line="440" w:lineRule="exact"/>
              <w:jc w:val="center"/>
              <w:rPr>
                <w:szCs w:val="21"/>
              </w:rPr>
            </w:pPr>
          </w:p>
        </w:tc>
        <w:tc>
          <w:tcPr>
            <w:tcW w:w="1081" w:type="dxa"/>
          </w:tcPr>
          <w:p>
            <w:pPr>
              <w:spacing w:line="440" w:lineRule="exact"/>
              <w:jc w:val="center"/>
              <w:rPr>
                <w:szCs w:val="21"/>
              </w:rPr>
            </w:pPr>
          </w:p>
        </w:tc>
        <w:tc>
          <w:tcPr>
            <w:tcW w:w="719" w:type="dxa"/>
          </w:tcPr>
          <w:p>
            <w:pPr>
              <w:spacing w:line="440" w:lineRule="exact"/>
              <w:jc w:val="center"/>
              <w:rPr>
                <w:szCs w:val="21"/>
              </w:rPr>
            </w:pPr>
          </w:p>
        </w:tc>
        <w:tc>
          <w:tcPr>
            <w:tcW w:w="721" w:type="dxa"/>
          </w:tcPr>
          <w:p>
            <w:pPr>
              <w:spacing w:line="440" w:lineRule="exact"/>
              <w:jc w:val="center"/>
              <w:rPr>
                <w:szCs w:val="21"/>
              </w:rPr>
            </w:pPr>
          </w:p>
        </w:tc>
        <w:tc>
          <w:tcPr>
            <w:tcW w:w="719" w:type="dxa"/>
          </w:tcPr>
          <w:p>
            <w:pPr>
              <w:spacing w:line="440" w:lineRule="exact"/>
              <w:jc w:val="center"/>
              <w:rPr>
                <w:szCs w:val="21"/>
              </w:rPr>
            </w:pPr>
          </w:p>
        </w:tc>
        <w:tc>
          <w:tcPr>
            <w:tcW w:w="2523" w:type="dxa"/>
          </w:tcPr>
          <w:p>
            <w:pPr>
              <w:spacing w:line="440" w:lineRule="exact"/>
              <w:jc w:val="center"/>
              <w:rPr>
                <w:szCs w:val="21"/>
              </w:rPr>
            </w:pPr>
          </w:p>
        </w:tc>
        <w:tc>
          <w:tcPr>
            <w:tcW w:w="672" w:type="dxa"/>
          </w:tcPr>
          <w:p>
            <w:pPr>
              <w:spacing w:line="440" w:lineRule="exact"/>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7" w:type="dxa"/>
          </w:tcPr>
          <w:p>
            <w:pPr>
              <w:spacing w:line="440" w:lineRule="exact"/>
              <w:jc w:val="center"/>
              <w:rPr>
                <w:szCs w:val="21"/>
              </w:rPr>
            </w:pPr>
          </w:p>
        </w:tc>
        <w:tc>
          <w:tcPr>
            <w:tcW w:w="721" w:type="dxa"/>
          </w:tcPr>
          <w:p>
            <w:pPr>
              <w:spacing w:line="440" w:lineRule="exact"/>
              <w:jc w:val="center"/>
              <w:rPr>
                <w:szCs w:val="21"/>
              </w:rPr>
            </w:pPr>
          </w:p>
        </w:tc>
        <w:tc>
          <w:tcPr>
            <w:tcW w:w="719" w:type="dxa"/>
          </w:tcPr>
          <w:p>
            <w:pPr>
              <w:spacing w:line="440" w:lineRule="exact"/>
              <w:jc w:val="center"/>
              <w:rPr>
                <w:szCs w:val="21"/>
              </w:rPr>
            </w:pPr>
          </w:p>
        </w:tc>
        <w:tc>
          <w:tcPr>
            <w:tcW w:w="1081" w:type="dxa"/>
          </w:tcPr>
          <w:p>
            <w:pPr>
              <w:spacing w:line="440" w:lineRule="exact"/>
              <w:jc w:val="center"/>
              <w:rPr>
                <w:szCs w:val="21"/>
              </w:rPr>
            </w:pPr>
          </w:p>
        </w:tc>
        <w:tc>
          <w:tcPr>
            <w:tcW w:w="719" w:type="dxa"/>
          </w:tcPr>
          <w:p>
            <w:pPr>
              <w:spacing w:line="440" w:lineRule="exact"/>
              <w:jc w:val="center"/>
              <w:rPr>
                <w:szCs w:val="21"/>
              </w:rPr>
            </w:pPr>
          </w:p>
        </w:tc>
        <w:tc>
          <w:tcPr>
            <w:tcW w:w="721" w:type="dxa"/>
          </w:tcPr>
          <w:p>
            <w:pPr>
              <w:spacing w:line="440" w:lineRule="exact"/>
              <w:jc w:val="center"/>
              <w:rPr>
                <w:szCs w:val="21"/>
              </w:rPr>
            </w:pPr>
          </w:p>
        </w:tc>
        <w:tc>
          <w:tcPr>
            <w:tcW w:w="719" w:type="dxa"/>
          </w:tcPr>
          <w:p>
            <w:pPr>
              <w:spacing w:line="440" w:lineRule="exact"/>
              <w:jc w:val="center"/>
              <w:rPr>
                <w:szCs w:val="21"/>
              </w:rPr>
            </w:pPr>
          </w:p>
        </w:tc>
        <w:tc>
          <w:tcPr>
            <w:tcW w:w="2523" w:type="dxa"/>
          </w:tcPr>
          <w:p>
            <w:pPr>
              <w:spacing w:line="440" w:lineRule="exact"/>
              <w:jc w:val="center"/>
              <w:rPr>
                <w:szCs w:val="21"/>
              </w:rPr>
            </w:pPr>
          </w:p>
        </w:tc>
        <w:tc>
          <w:tcPr>
            <w:tcW w:w="672" w:type="dxa"/>
          </w:tcPr>
          <w:p>
            <w:pPr>
              <w:spacing w:line="440" w:lineRule="exact"/>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7" w:type="dxa"/>
          </w:tcPr>
          <w:p>
            <w:pPr>
              <w:spacing w:line="440" w:lineRule="exact"/>
              <w:jc w:val="center"/>
              <w:rPr>
                <w:szCs w:val="21"/>
              </w:rPr>
            </w:pPr>
          </w:p>
        </w:tc>
        <w:tc>
          <w:tcPr>
            <w:tcW w:w="721" w:type="dxa"/>
          </w:tcPr>
          <w:p>
            <w:pPr>
              <w:spacing w:line="440" w:lineRule="exact"/>
              <w:jc w:val="center"/>
              <w:rPr>
                <w:szCs w:val="21"/>
              </w:rPr>
            </w:pPr>
          </w:p>
        </w:tc>
        <w:tc>
          <w:tcPr>
            <w:tcW w:w="719" w:type="dxa"/>
          </w:tcPr>
          <w:p>
            <w:pPr>
              <w:spacing w:line="440" w:lineRule="exact"/>
              <w:jc w:val="center"/>
              <w:rPr>
                <w:szCs w:val="21"/>
              </w:rPr>
            </w:pPr>
          </w:p>
        </w:tc>
        <w:tc>
          <w:tcPr>
            <w:tcW w:w="1081" w:type="dxa"/>
          </w:tcPr>
          <w:p>
            <w:pPr>
              <w:spacing w:line="440" w:lineRule="exact"/>
              <w:jc w:val="center"/>
              <w:rPr>
                <w:szCs w:val="21"/>
              </w:rPr>
            </w:pPr>
          </w:p>
        </w:tc>
        <w:tc>
          <w:tcPr>
            <w:tcW w:w="719" w:type="dxa"/>
          </w:tcPr>
          <w:p>
            <w:pPr>
              <w:spacing w:line="440" w:lineRule="exact"/>
              <w:jc w:val="center"/>
              <w:rPr>
                <w:szCs w:val="21"/>
              </w:rPr>
            </w:pPr>
          </w:p>
        </w:tc>
        <w:tc>
          <w:tcPr>
            <w:tcW w:w="721" w:type="dxa"/>
          </w:tcPr>
          <w:p>
            <w:pPr>
              <w:spacing w:line="440" w:lineRule="exact"/>
              <w:jc w:val="center"/>
              <w:rPr>
                <w:szCs w:val="21"/>
              </w:rPr>
            </w:pPr>
          </w:p>
        </w:tc>
        <w:tc>
          <w:tcPr>
            <w:tcW w:w="719" w:type="dxa"/>
          </w:tcPr>
          <w:p>
            <w:pPr>
              <w:spacing w:line="440" w:lineRule="exact"/>
              <w:jc w:val="center"/>
              <w:rPr>
                <w:szCs w:val="21"/>
              </w:rPr>
            </w:pPr>
          </w:p>
        </w:tc>
        <w:tc>
          <w:tcPr>
            <w:tcW w:w="2523" w:type="dxa"/>
          </w:tcPr>
          <w:p>
            <w:pPr>
              <w:spacing w:line="440" w:lineRule="exact"/>
              <w:jc w:val="center"/>
              <w:rPr>
                <w:szCs w:val="21"/>
              </w:rPr>
            </w:pPr>
          </w:p>
        </w:tc>
        <w:tc>
          <w:tcPr>
            <w:tcW w:w="672" w:type="dxa"/>
          </w:tcPr>
          <w:p>
            <w:pPr>
              <w:spacing w:line="440" w:lineRule="exact"/>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7" w:type="dxa"/>
          </w:tcPr>
          <w:p>
            <w:pPr>
              <w:spacing w:line="440" w:lineRule="exact"/>
              <w:jc w:val="center"/>
              <w:rPr>
                <w:szCs w:val="21"/>
              </w:rPr>
            </w:pPr>
          </w:p>
        </w:tc>
        <w:tc>
          <w:tcPr>
            <w:tcW w:w="721" w:type="dxa"/>
          </w:tcPr>
          <w:p>
            <w:pPr>
              <w:spacing w:line="440" w:lineRule="exact"/>
              <w:jc w:val="center"/>
              <w:rPr>
                <w:szCs w:val="21"/>
              </w:rPr>
            </w:pPr>
          </w:p>
        </w:tc>
        <w:tc>
          <w:tcPr>
            <w:tcW w:w="719" w:type="dxa"/>
          </w:tcPr>
          <w:p>
            <w:pPr>
              <w:spacing w:line="440" w:lineRule="exact"/>
              <w:jc w:val="center"/>
              <w:rPr>
                <w:szCs w:val="21"/>
              </w:rPr>
            </w:pPr>
          </w:p>
        </w:tc>
        <w:tc>
          <w:tcPr>
            <w:tcW w:w="1081" w:type="dxa"/>
          </w:tcPr>
          <w:p>
            <w:pPr>
              <w:spacing w:line="440" w:lineRule="exact"/>
              <w:jc w:val="center"/>
              <w:rPr>
                <w:szCs w:val="21"/>
              </w:rPr>
            </w:pPr>
          </w:p>
        </w:tc>
        <w:tc>
          <w:tcPr>
            <w:tcW w:w="719" w:type="dxa"/>
          </w:tcPr>
          <w:p>
            <w:pPr>
              <w:spacing w:line="440" w:lineRule="exact"/>
              <w:jc w:val="center"/>
              <w:rPr>
                <w:szCs w:val="21"/>
              </w:rPr>
            </w:pPr>
          </w:p>
        </w:tc>
        <w:tc>
          <w:tcPr>
            <w:tcW w:w="721" w:type="dxa"/>
          </w:tcPr>
          <w:p>
            <w:pPr>
              <w:spacing w:line="440" w:lineRule="exact"/>
              <w:jc w:val="center"/>
              <w:rPr>
                <w:szCs w:val="21"/>
              </w:rPr>
            </w:pPr>
          </w:p>
        </w:tc>
        <w:tc>
          <w:tcPr>
            <w:tcW w:w="719" w:type="dxa"/>
          </w:tcPr>
          <w:p>
            <w:pPr>
              <w:spacing w:line="440" w:lineRule="exact"/>
              <w:jc w:val="center"/>
              <w:rPr>
                <w:szCs w:val="21"/>
              </w:rPr>
            </w:pPr>
          </w:p>
        </w:tc>
        <w:tc>
          <w:tcPr>
            <w:tcW w:w="2523" w:type="dxa"/>
          </w:tcPr>
          <w:p>
            <w:pPr>
              <w:spacing w:line="440" w:lineRule="exact"/>
              <w:jc w:val="center"/>
              <w:rPr>
                <w:szCs w:val="21"/>
              </w:rPr>
            </w:pPr>
          </w:p>
        </w:tc>
        <w:tc>
          <w:tcPr>
            <w:tcW w:w="672" w:type="dxa"/>
          </w:tcPr>
          <w:p>
            <w:pPr>
              <w:spacing w:line="440" w:lineRule="exact"/>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7" w:type="dxa"/>
          </w:tcPr>
          <w:p>
            <w:pPr>
              <w:spacing w:line="440" w:lineRule="exact"/>
              <w:jc w:val="center"/>
              <w:rPr>
                <w:szCs w:val="21"/>
              </w:rPr>
            </w:pPr>
          </w:p>
        </w:tc>
        <w:tc>
          <w:tcPr>
            <w:tcW w:w="721" w:type="dxa"/>
          </w:tcPr>
          <w:p>
            <w:pPr>
              <w:spacing w:line="440" w:lineRule="exact"/>
              <w:jc w:val="center"/>
              <w:rPr>
                <w:szCs w:val="21"/>
              </w:rPr>
            </w:pPr>
          </w:p>
        </w:tc>
        <w:tc>
          <w:tcPr>
            <w:tcW w:w="719" w:type="dxa"/>
          </w:tcPr>
          <w:p>
            <w:pPr>
              <w:spacing w:line="440" w:lineRule="exact"/>
              <w:jc w:val="center"/>
              <w:rPr>
                <w:szCs w:val="21"/>
              </w:rPr>
            </w:pPr>
          </w:p>
        </w:tc>
        <w:tc>
          <w:tcPr>
            <w:tcW w:w="1081" w:type="dxa"/>
          </w:tcPr>
          <w:p>
            <w:pPr>
              <w:spacing w:line="440" w:lineRule="exact"/>
              <w:jc w:val="center"/>
              <w:rPr>
                <w:szCs w:val="21"/>
              </w:rPr>
            </w:pPr>
          </w:p>
        </w:tc>
        <w:tc>
          <w:tcPr>
            <w:tcW w:w="719" w:type="dxa"/>
          </w:tcPr>
          <w:p>
            <w:pPr>
              <w:spacing w:line="440" w:lineRule="exact"/>
              <w:jc w:val="center"/>
              <w:rPr>
                <w:szCs w:val="21"/>
              </w:rPr>
            </w:pPr>
          </w:p>
        </w:tc>
        <w:tc>
          <w:tcPr>
            <w:tcW w:w="721" w:type="dxa"/>
          </w:tcPr>
          <w:p>
            <w:pPr>
              <w:spacing w:line="440" w:lineRule="exact"/>
              <w:jc w:val="center"/>
              <w:rPr>
                <w:szCs w:val="21"/>
              </w:rPr>
            </w:pPr>
          </w:p>
        </w:tc>
        <w:tc>
          <w:tcPr>
            <w:tcW w:w="719" w:type="dxa"/>
          </w:tcPr>
          <w:p>
            <w:pPr>
              <w:spacing w:line="440" w:lineRule="exact"/>
              <w:jc w:val="center"/>
              <w:rPr>
                <w:szCs w:val="21"/>
              </w:rPr>
            </w:pPr>
          </w:p>
        </w:tc>
        <w:tc>
          <w:tcPr>
            <w:tcW w:w="2523" w:type="dxa"/>
          </w:tcPr>
          <w:p>
            <w:pPr>
              <w:spacing w:line="440" w:lineRule="exact"/>
              <w:jc w:val="center"/>
              <w:rPr>
                <w:szCs w:val="21"/>
              </w:rPr>
            </w:pPr>
          </w:p>
        </w:tc>
        <w:tc>
          <w:tcPr>
            <w:tcW w:w="672" w:type="dxa"/>
          </w:tcPr>
          <w:p>
            <w:pPr>
              <w:spacing w:line="440" w:lineRule="exact"/>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7" w:type="dxa"/>
          </w:tcPr>
          <w:p>
            <w:pPr>
              <w:spacing w:line="440" w:lineRule="exact"/>
              <w:jc w:val="center"/>
              <w:rPr>
                <w:szCs w:val="21"/>
              </w:rPr>
            </w:pPr>
          </w:p>
        </w:tc>
        <w:tc>
          <w:tcPr>
            <w:tcW w:w="721" w:type="dxa"/>
          </w:tcPr>
          <w:p>
            <w:pPr>
              <w:spacing w:line="440" w:lineRule="exact"/>
              <w:jc w:val="center"/>
              <w:rPr>
                <w:szCs w:val="21"/>
              </w:rPr>
            </w:pPr>
          </w:p>
        </w:tc>
        <w:tc>
          <w:tcPr>
            <w:tcW w:w="719" w:type="dxa"/>
          </w:tcPr>
          <w:p>
            <w:pPr>
              <w:spacing w:line="440" w:lineRule="exact"/>
              <w:jc w:val="center"/>
              <w:rPr>
                <w:szCs w:val="21"/>
              </w:rPr>
            </w:pPr>
          </w:p>
        </w:tc>
        <w:tc>
          <w:tcPr>
            <w:tcW w:w="1081" w:type="dxa"/>
          </w:tcPr>
          <w:p>
            <w:pPr>
              <w:spacing w:line="440" w:lineRule="exact"/>
              <w:jc w:val="center"/>
              <w:rPr>
                <w:szCs w:val="21"/>
              </w:rPr>
            </w:pPr>
          </w:p>
        </w:tc>
        <w:tc>
          <w:tcPr>
            <w:tcW w:w="719" w:type="dxa"/>
          </w:tcPr>
          <w:p>
            <w:pPr>
              <w:spacing w:line="440" w:lineRule="exact"/>
              <w:jc w:val="center"/>
              <w:rPr>
                <w:szCs w:val="21"/>
              </w:rPr>
            </w:pPr>
          </w:p>
        </w:tc>
        <w:tc>
          <w:tcPr>
            <w:tcW w:w="721" w:type="dxa"/>
          </w:tcPr>
          <w:p>
            <w:pPr>
              <w:spacing w:line="440" w:lineRule="exact"/>
              <w:jc w:val="center"/>
              <w:rPr>
                <w:szCs w:val="21"/>
              </w:rPr>
            </w:pPr>
          </w:p>
        </w:tc>
        <w:tc>
          <w:tcPr>
            <w:tcW w:w="719" w:type="dxa"/>
          </w:tcPr>
          <w:p>
            <w:pPr>
              <w:spacing w:line="440" w:lineRule="exact"/>
              <w:jc w:val="center"/>
              <w:rPr>
                <w:szCs w:val="21"/>
              </w:rPr>
            </w:pPr>
          </w:p>
        </w:tc>
        <w:tc>
          <w:tcPr>
            <w:tcW w:w="2523" w:type="dxa"/>
          </w:tcPr>
          <w:p>
            <w:pPr>
              <w:spacing w:line="440" w:lineRule="exact"/>
              <w:jc w:val="center"/>
              <w:rPr>
                <w:szCs w:val="21"/>
              </w:rPr>
            </w:pPr>
          </w:p>
        </w:tc>
        <w:tc>
          <w:tcPr>
            <w:tcW w:w="672" w:type="dxa"/>
          </w:tcPr>
          <w:p>
            <w:pPr>
              <w:spacing w:line="440" w:lineRule="exact"/>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7" w:type="dxa"/>
          </w:tcPr>
          <w:p>
            <w:pPr>
              <w:spacing w:line="440" w:lineRule="exact"/>
              <w:jc w:val="center"/>
              <w:rPr>
                <w:szCs w:val="21"/>
              </w:rPr>
            </w:pPr>
          </w:p>
        </w:tc>
        <w:tc>
          <w:tcPr>
            <w:tcW w:w="721" w:type="dxa"/>
          </w:tcPr>
          <w:p>
            <w:pPr>
              <w:spacing w:line="440" w:lineRule="exact"/>
              <w:jc w:val="center"/>
              <w:rPr>
                <w:szCs w:val="21"/>
              </w:rPr>
            </w:pPr>
          </w:p>
        </w:tc>
        <w:tc>
          <w:tcPr>
            <w:tcW w:w="719" w:type="dxa"/>
          </w:tcPr>
          <w:p>
            <w:pPr>
              <w:spacing w:line="440" w:lineRule="exact"/>
              <w:jc w:val="center"/>
              <w:rPr>
                <w:szCs w:val="21"/>
              </w:rPr>
            </w:pPr>
          </w:p>
        </w:tc>
        <w:tc>
          <w:tcPr>
            <w:tcW w:w="1081" w:type="dxa"/>
          </w:tcPr>
          <w:p>
            <w:pPr>
              <w:spacing w:line="440" w:lineRule="exact"/>
              <w:jc w:val="center"/>
              <w:rPr>
                <w:szCs w:val="21"/>
              </w:rPr>
            </w:pPr>
          </w:p>
        </w:tc>
        <w:tc>
          <w:tcPr>
            <w:tcW w:w="719" w:type="dxa"/>
          </w:tcPr>
          <w:p>
            <w:pPr>
              <w:spacing w:line="440" w:lineRule="exact"/>
              <w:jc w:val="center"/>
              <w:rPr>
                <w:szCs w:val="21"/>
              </w:rPr>
            </w:pPr>
          </w:p>
        </w:tc>
        <w:tc>
          <w:tcPr>
            <w:tcW w:w="721" w:type="dxa"/>
          </w:tcPr>
          <w:p>
            <w:pPr>
              <w:spacing w:line="440" w:lineRule="exact"/>
              <w:jc w:val="center"/>
              <w:rPr>
                <w:szCs w:val="21"/>
              </w:rPr>
            </w:pPr>
          </w:p>
        </w:tc>
        <w:tc>
          <w:tcPr>
            <w:tcW w:w="719" w:type="dxa"/>
          </w:tcPr>
          <w:p>
            <w:pPr>
              <w:spacing w:line="440" w:lineRule="exact"/>
              <w:jc w:val="center"/>
              <w:rPr>
                <w:szCs w:val="21"/>
              </w:rPr>
            </w:pPr>
          </w:p>
        </w:tc>
        <w:tc>
          <w:tcPr>
            <w:tcW w:w="2523" w:type="dxa"/>
          </w:tcPr>
          <w:p>
            <w:pPr>
              <w:spacing w:line="440" w:lineRule="exact"/>
              <w:jc w:val="center"/>
              <w:rPr>
                <w:szCs w:val="21"/>
              </w:rPr>
            </w:pPr>
          </w:p>
        </w:tc>
        <w:tc>
          <w:tcPr>
            <w:tcW w:w="672" w:type="dxa"/>
          </w:tcPr>
          <w:p>
            <w:pPr>
              <w:spacing w:line="440" w:lineRule="exact"/>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7" w:type="dxa"/>
          </w:tcPr>
          <w:p>
            <w:pPr>
              <w:spacing w:line="440" w:lineRule="exact"/>
              <w:jc w:val="center"/>
              <w:rPr>
                <w:szCs w:val="21"/>
              </w:rPr>
            </w:pPr>
          </w:p>
        </w:tc>
        <w:tc>
          <w:tcPr>
            <w:tcW w:w="721" w:type="dxa"/>
          </w:tcPr>
          <w:p>
            <w:pPr>
              <w:spacing w:line="440" w:lineRule="exact"/>
              <w:jc w:val="center"/>
              <w:rPr>
                <w:szCs w:val="21"/>
              </w:rPr>
            </w:pPr>
          </w:p>
        </w:tc>
        <w:tc>
          <w:tcPr>
            <w:tcW w:w="719" w:type="dxa"/>
          </w:tcPr>
          <w:p>
            <w:pPr>
              <w:spacing w:line="440" w:lineRule="exact"/>
              <w:jc w:val="center"/>
              <w:rPr>
                <w:szCs w:val="21"/>
              </w:rPr>
            </w:pPr>
          </w:p>
        </w:tc>
        <w:tc>
          <w:tcPr>
            <w:tcW w:w="1081" w:type="dxa"/>
          </w:tcPr>
          <w:p>
            <w:pPr>
              <w:spacing w:line="440" w:lineRule="exact"/>
              <w:jc w:val="center"/>
              <w:rPr>
                <w:szCs w:val="21"/>
              </w:rPr>
            </w:pPr>
          </w:p>
        </w:tc>
        <w:tc>
          <w:tcPr>
            <w:tcW w:w="719" w:type="dxa"/>
          </w:tcPr>
          <w:p>
            <w:pPr>
              <w:spacing w:line="440" w:lineRule="exact"/>
              <w:jc w:val="center"/>
              <w:rPr>
                <w:szCs w:val="21"/>
              </w:rPr>
            </w:pPr>
          </w:p>
        </w:tc>
        <w:tc>
          <w:tcPr>
            <w:tcW w:w="721" w:type="dxa"/>
          </w:tcPr>
          <w:p>
            <w:pPr>
              <w:spacing w:line="440" w:lineRule="exact"/>
              <w:jc w:val="center"/>
              <w:rPr>
                <w:szCs w:val="21"/>
              </w:rPr>
            </w:pPr>
          </w:p>
        </w:tc>
        <w:tc>
          <w:tcPr>
            <w:tcW w:w="719" w:type="dxa"/>
          </w:tcPr>
          <w:p>
            <w:pPr>
              <w:spacing w:line="440" w:lineRule="exact"/>
              <w:jc w:val="center"/>
              <w:rPr>
                <w:szCs w:val="21"/>
              </w:rPr>
            </w:pPr>
          </w:p>
        </w:tc>
        <w:tc>
          <w:tcPr>
            <w:tcW w:w="2523" w:type="dxa"/>
          </w:tcPr>
          <w:p>
            <w:pPr>
              <w:spacing w:line="440" w:lineRule="exact"/>
              <w:jc w:val="center"/>
              <w:rPr>
                <w:szCs w:val="21"/>
              </w:rPr>
            </w:pPr>
          </w:p>
        </w:tc>
        <w:tc>
          <w:tcPr>
            <w:tcW w:w="672" w:type="dxa"/>
          </w:tcPr>
          <w:p>
            <w:pPr>
              <w:spacing w:line="440" w:lineRule="exact"/>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7" w:type="dxa"/>
            <w:tcBorders>
              <w:top w:val="single" w:color="auto" w:sz="4" w:space="0"/>
              <w:left w:val="single" w:color="auto" w:sz="4" w:space="0"/>
              <w:bottom w:val="single" w:color="auto" w:sz="4" w:space="0"/>
              <w:right w:val="single" w:color="auto" w:sz="4" w:space="0"/>
            </w:tcBorders>
          </w:tcPr>
          <w:p>
            <w:pPr>
              <w:spacing w:line="440" w:lineRule="exact"/>
              <w:jc w:val="center"/>
              <w:rPr>
                <w:szCs w:val="21"/>
              </w:rPr>
            </w:pPr>
          </w:p>
        </w:tc>
        <w:tc>
          <w:tcPr>
            <w:tcW w:w="721" w:type="dxa"/>
            <w:tcBorders>
              <w:top w:val="single" w:color="auto" w:sz="4" w:space="0"/>
              <w:left w:val="single" w:color="auto" w:sz="4" w:space="0"/>
              <w:bottom w:val="single" w:color="auto" w:sz="4" w:space="0"/>
              <w:right w:val="single" w:color="auto" w:sz="4" w:space="0"/>
            </w:tcBorders>
          </w:tcPr>
          <w:p>
            <w:pPr>
              <w:spacing w:line="440" w:lineRule="exact"/>
              <w:jc w:val="center"/>
              <w:rPr>
                <w:szCs w:val="21"/>
              </w:rPr>
            </w:pPr>
          </w:p>
        </w:tc>
        <w:tc>
          <w:tcPr>
            <w:tcW w:w="719" w:type="dxa"/>
            <w:tcBorders>
              <w:top w:val="single" w:color="auto" w:sz="4" w:space="0"/>
              <w:left w:val="single" w:color="auto" w:sz="4" w:space="0"/>
              <w:bottom w:val="single" w:color="auto" w:sz="4" w:space="0"/>
              <w:right w:val="single" w:color="auto" w:sz="4" w:space="0"/>
            </w:tcBorders>
          </w:tcPr>
          <w:p>
            <w:pPr>
              <w:spacing w:line="440" w:lineRule="exact"/>
              <w:jc w:val="center"/>
              <w:rPr>
                <w:szCs w:val="21"/>
              </w:rPr>
            </w:pPr>
          </w:p>
        </w:tc>
        <w:tc>
          <w:tcPr>
            <w:tcW w:w="1081" w:type="dxa"/>
            <w:tcBorders>
              <w:top w:val="single" w:color="auto" w:sz="4" w:space="0"/>
              <w:left w:val="single" w:color="auto" w:sz="4" w:space="0"/>
              <w:bottom w:val="single" w:color="auto" w:sz="4" w:space="0"/>
              <w:right w:val="single" w:color="auto" w:sz="4" w:space="0"/>
            </w:tcBorders>
          </w:tcPr>
          <w:p>
            <w:pPr>
              <w:spacing w:line="440" w:lineRule="exact"/>
              <w:jc w:val="center"/>
              <w:rPr>
                <w:szCs w:val="21"/>
              </w:rPr>
            </w:pPr>
          </w:p>
        </w:tc>
        <w:tc>
          <w:tcPr>
            <w:tcW w:w="719" w:type="dxa"/>
            <w:tcBorders>
              <w:top w:val="single" w:color="auto" w:sz="4" w:space="0"/>
              <w:left w:val="single" w:color="auto" w:sz="4" w:space="0"/>
              <w:bottom w:val="single" w:color="auto" w:sz="4" w:space="0"/>
              <w:right w:val="single" w:color="auto" w:sz="4" w:space="0"/>
            </w:tcBorders>
          </w:tcPr>
          <w:p>
            <w:pPr>
              <w:spacing w:line="440" w:lineRule="exact"/>
              <w:jc w:val="center"/>
              <w:rPr>
                <w:szCs w:val="21"/>
              </w:rPr>
            </w:pPr>
          </w:p>
        </w:tc>
        <w:tc>
          <w:tcPr>
            <w:tcW w:w="721" w:type="dxa"/>
            <w:tcBorders>
              <w:top w:val="single" w:color="auto" w:sz="4" w:space="0"/>
              <w:left w:val="single" w:color="auto" w:sz="4" w:space="0"/>
              <w:bottom w:val="single" w:color="auto" w:sz="4" w:space="0"/>
              <w:right w:val="single" w:color="auto" w:sz="4" w:space="0"/>
            </w:tcBorders>
          </w:tcPr>
          <w:p>
            <w:pPr>
              <w:spacing w:line="440" w:lineRule="exact"/>
              <w:jc w:val="center"/>
              <w:rPr>
                <w:szCs w:val="21"/>
              </w:rPr>
            </w:pPr>
          </w:p>
        </w:tc>
        <w:tc>
          <w:tcPr>
            <w:tcW w:w="719" w:type="dxa"/>
            <w:tcBorders>
              <w:top w:val="single" w:color="auto" w:sz="4" w:space="0"/>
              <w:left w:val="single" w:color="auto" w:sz="4" w:space="0"/>
              <w:bottom w:val="single" w:color="auto" w:sz="4" w:space="0"/>
              <w:right w:val="single" w:color="auto" w:sz="4" w:space="0"/>
            </w:tcBorders>
          </w:tcPr>
          <w:p>
            <w:pPr>
              <w:spacing w:line="440" w:lineRule="exact"/>
              <w:jc w:val="center"/>
              <w:rPr>
                <w:szCs w:val="21"/>
              </w:rPr>
            </w:pPr>
          </w:p>
        </w:tc>
        <w:tc>
          <w:tcPr>
            <w:tcW w:w="2523" w:type="dxa"/>
            <w:tcBorders>
              <w:top w:val="single" w:color="auto" w:sz="4" w:space="0"/>
              <w:left w:val="single" w:color="auto" w:sz="4" w:space="0"/>
              <w:bottom w:val="single" w:color="auto" w:sz="4" w:space="0"/>
              <w:right w:val="single" w:color="auto" w:sz="4" w:space="0"/>
            </w:tcBorders>
          </w:tcPr>
          <w:p>
            <w:pPr>
              <w:spacing w:line="440" w:lineRule="exact"/>
              <w:jc w:val="center"/>
              <w:rPr>
                <w:szCs w:val="21"/>
              </w:rPr>
            </w:pPr>
          </w:p>
        </w:tc>
        <w:tc>
          <w:tcPr>
            <w:tcW w:w="672" w:type="dxa"/>
            <w:tcBorders>
              <w:top w:val="single" w:color="auto" w:sz="4" w:space="0"/>
              <w:left w:val="single" w:color="auto" w:sz="4" w:space="0"/>
              <w:bottom w:val="single" w:color="auto" w:sz="4" w:space="0"/>
              <w:right w:val="single" w:color="auto" w:sz="4" w:space="0"/>
            </w:tcBorders>
          </w:tcPr>
          <w:p>
            <w:pPr>
              <w:spacing w:line="440" w:lineRule="exact"/>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7" w:type="dxa"/>
            <w:tcBorders>
              <w:top w:val="single" w:color="auto" w:sz="4" w:space="0"/>
              <w:left w:val="single" w:color="auto" w:sz="4" w:space="0"/>
              <w:bottom w:val="single" w:color="auto" w:sz="4" w:space="0"/>
              <w:right w:val="single" w:color="auto" w:sz="4" w:space="0"/>
            </w:tcBorders>
          </w:tcPr>
          <w:p>
            <w:pPr>
              <w:spacing w:line="440" w:lineRule="exact"/>
              <w:jc w:val="center"/>
              <w:rPr>
                <w:szCs w:val="21"/>
              </w:rPr>
            </w:pPr>
          </w:p>
        </w:tc>
        <w:tc>
          <w:tcPr>
            <w:tcW w:w="721" w:type="dxa"/>
            <w:tcBorders>
              <w:top w:val="single" w:color="auto" w:sz="4" w:space="0"/>
              <w:left w:val="single" w:color="auto" w:sz="4" w:space="0"/>
              <w:bottom w:val="single" w:color="auto" w:sz="4" w:space="0"/>
              <w:right w:val="single" w:color="auto" w:sz="4" w:space="0"/>
            </w:tcBorders>
          </w:tcPr>
          <w:p>
            <w:pPr>
              <w:spacing w:line="440" w:lineRule="exact"/>
              <w:jc w:val="center"/>
              <w:rPr>
                <w:szCs w:val="21"/>
              </w:rPr>
            </w:pPr>
          </w:p>
        </w:tc>
        <w:tc>
          <w:tcPr>
            <w:tcW w:w="719" w:type="dxa"/>
            <w:tcBorders>
              <w:top w:val="single" w:color="auto" w:sz="4" w:space="0"/>
              <w:left w:val="single" w:color="auto" w:sz="4" w:space="0"/>
              <w:bottom w:val="single" w:color="auto" w:sz="4" w:space="0"/>
              <w:right w:val="single" w:color="auto" w:sz="4" w:space="0"/>
            </w:tcBorders>
          </w:tcPr>
          <w:p>
            <w:pPr>
              <w:spacing w:line="440" w:lineRule="exact"/>
              <w:jc w:val="center"/>
              <w:rPr>
                <w:szCs w:val="21"/>
              </w:rPr>
            </w:pPr>
          </w:p>
        </w:tc>
        <w:tc>
          <w:tcPr>
            <w:tcW w:w="1081" w:type="dxa"/>
            <w:tcBorders>
              <w:top w:val="single" w:color="auto" w:sz="4" w:space="0"/>
              <w:left w:val="single" w:color="auto" w:sz="4" w:space="0"/>
              <w:bottom w:val="single" w:color="auto" w:sz="4" w:space="0"/>
              <w:right w:val="single" w:color="auto" w:sz="4" w:space="0"/>
            </w:tcBorders>
          </w:tcPr>
          <w:p>
            <w:pPr>
              <w:spacing w:line="440" w:lineRule="exact"/>
              <w:jc w:val="center"/>
              <w:rPr>
                <w:szCs w:val="21"/>
              </w:rPr>
            </w:pPr>
          </w:p>
        </w:tc>
        <w:tc>
          <w:tcPr>
            <w:tcW w:w="719" w:type="dxa"/>
            <w:tcBorders>
              <w:top w:val="single" w:color="auto" w:sz="4" w:space="0"/>
              <w:left w:val="single" w:color="auto" w:sz="4" w:space="0"/>
              <w:bottom w:val="single" w:color="auto" w:sz="4" w:space="0"/>
              <w:right w:val="single" w:color="auto" w:sz="4" w:space="0"/>
            </w:tcBorders>
          </w:tcPr>
          <w:p>
            <w:pPr>
              <w:spacing w:line="440" w:lineRule="exact"/>
              <w:jc w:val="center"/>
              <w:rPr>
                <w:szCs w:val="21"/>
              </w:rPr>
            </w:pPr>
          </w:p>
        </w:tc>
        <w:tc>
          <w:tcPr>
            <w:tcW w:w="721" w:type="dxa"/>
            <w:tcBorders>
              <w:top w:val="single" w:color="auto" w:sz="4" w:space="0"/>
              <w:left w:val="single" w:color="auto" w:sz="4" w:space="0"/>
              <w:bottom w:val="single" w:color="auto" w:sz="4" w:space="0"/>
              <w:right w:val="single" w:color="auto" w:sz="4" w:space="0"/>
            </w:tcBorders>
          </w:tcPr>
          <w:p>
            <w:pPr>
              <w:spacing w:line="440" w:lineRule="exact"/>
              <w:jc w:val="center"/>
              <w:rPr>
                <w:szCs w:val="21"/>
              </w:rPr>
            </w:pPr>
          </w:p>
        </w:tc>
        <w:tc>
          <w:tcPr>
            <w:tcW w:w="719" w:type="dxa"/>
            <w:tcBorders>
              <w:top w:val="single" w:color="auto" w:sz="4" w:space="0"/>
              <w:left w:val="single" w:color="auto" w:sz="4" w:space="0"/>
              <w:bottom w:val="single" w:color="auto" w:sz="4" w:space="0"/>
              <w:right w:val="single" w:color="auto" w:sz="4" w:space="0"/>
            </w:tcBorders>
          </w:tcPr>
          <w:p>
            <w:pPr>
              <w:spacing w:line="440" w:lineRule="exact"/>
              <w:jc w:val="center"/>
              <w:rPr>
                <w:szCs w:val="21"/>
              </w:rPr>
            </w:pPr>
          </w:p>
        </w:tc>
        <w:tc>
          <w:tcPr>
            <w:tcW w:w="2523" w:type="dxa"/>
            <w:tcBorders>
              <w:top w:val="single" w:color="auto" w:sz="4" w:space="0"/>
              <w:left w:val="single" w:color="auto" w:sz="4" w:space="0"/>
              <w:bottom w:val="single" w:color="auto" w:sz="4" w:space="0"/>
              <w:right w:val="single" w:color="auto" w:sz="4" w:space="0"/>
            </w:tcBorders>
          </w:tcPr>
          <w:p>
            <w:pPr>
              <w:spacing w:line="440" w:lineRule="exact"/>
              <w:jc w:val="center"/>
              <w:rPr>
                <w:szCs w:val="21"/>
              </w:rPr>
            </w:pPr>
          </w:p>
        </w:tc>
        <w:tc>
          <w:tcPr>
            <w:tcW w:w="672" w:type="dxa"/>
            <w:tcBorders>
              <w:top w:val="single" w:color="auto" w:sz="4" w:space="0"/>
              <w:left w:val="single" w:color="auto" w:sz="4" w:space="0"/>
              <w:bottom w:val="single" w:color="auto" w:sz="4" w:space="0"/>
              <w:right w:val="single" w:color="auto" w:sz="4" w:space="0"/>
            </w:tcBorders>
          </w:tcPr>
          <w:p>
            <w:pPr>
              <w:spacing w:line="440" w:lineRule="exact"/>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7" w:type="dxa"/>
            <w:tcBorders>
              <w:top w:val="single" w:color="auto" w:sz="4" w:space="0"/>
              <w:left w:val="single" w:color="auto" w:sz="4" w:space="0"/>
              <w:bottom w:val="single" w:color="auto" w:sz="4" w:space="0"/>
              <w:right w:val="single" w:color="auto" w:sz="4" w:space="0"/>
            </w:tcBorders>
          </w:tcPr>
          <w:p>
            <w:pPr>
              <w:spacing w:line="440" w:lineRule="exact"/>
              <w:jc w:val="center"/>
              <w:rPr>
                <w:szCs w:val="21"/>
              </w:rPr>
            </w:pPr>
          </w:p>
        </w:tc>
        <w:tc>
          <w:tcPr>
            <w:tcW w:w="721" w:type="dxa"/>
            <w:tcBorders>
              <w:top w:val="single" w:color="auto" w:sz="4" w:space="0"/>
              <w:left w:val="single" w:color="auto" w:sz="4" w:space="0"/>
              <w:bottom w:val="single" w:color="auto" w:sz="4" w:space="0"/>
              <w:right w:val="single" w:color="auto" w:sz="4" w:space="0"/>
            </w:tcBorders>
          </w:tcPr>
          <w:p>
            <w:pPr>
              <w:spacing w:line="440" w:lineRule="exact"/>
              <w:jc w:val="center"/>
              <w:rPr>
                <w:szCs w:val="21"/>
              </w:rPr>
            </w:pPr>
          </w:p>
        </w:tc>
        <w:tc>
          <w:tcPr>
            <w:tcW w:w="719" w:type="dxa"/>
            <w:tcBorders>
              <w:top w:val="single" w:color="auto" w:sz="4" w:space="0"/>
              <w:left w:val="single" w:color="auto" w:sz="4" w:space="0"/>
              <w:bottom w:val="single" w:color="auto" w:sz="4" w:space="0"/>
              <w:right w:val="single" w:color="auto" w:sz="4" w:space="0"/>
            </w:tcBorders>
          </w:tcPr>
          <w:p>
            <w:pPr>
              <w:spacing w:line="440" w:lineRule="exact"/>
              <w:jc w:val="center"/>
              <w:rPr>
                <w:szCs w:val="21"/>
              </w:rPr>
            </w:pPr>
          </w:p>
        </w:tc>
        <w:tc>
          <w:tcPr>
            <w:tcW w:w="1081" w:type="dxa"/>
            <w:tcBorders>
              <w:top w:val="single" w:color="auto" w:sz="4" w:space="0"/>
              <w:left w:val="single" w:color="auto" w:sz="4" w:space="0"/>
              <w:bottom w:val="single" w:color="auto" w:sz="4" w:space="0"/>
              <w:right w:val="single" w:color="auto" w:sz="4" w:space="0"/>
            </w:tcBorders>
          </w:tcPr>
          <w:p>
            <w:pPr>
              <w:spacing w:line="440" w:lineRule="exact"/>
              <w:jc w:val="center"/>
              <w:rPr>
                <w:szCs w:val="21"/>
              </w:rPr>
            </w:pPr>
          </w:p>
        </w:tc>
        <w:tc>
          <w:tcPr>
            <w:tcW w:w="719" w:type="dxa"/>
            <w:tcBorders>
              <w:top w:val="single" w:color="auto" w:sz="4" w:space="0"/>
              <w:left w:val="single" w:color="auto" w:sz="4" w:space="0"/>
              <w:bottom w:val="single" w:color="auto" w:sz="4" w:space="0"/>
              <w:right w:val="single" w:color="auto" w:sz="4" w:space="0"/>
            </w:tcBorders>
          </w:tcPr>
          <w:p>
            <w:pPr>
              <w:spacing w:line="440" w:lineRule="exact"/>
              <w:jc w:val="center"/>
              <w:rPr>
                <w:szCs w:val="21"/>
              </w:rPr>
            </w:pPr>
          </w:p>
        </w:tc>
        <w:tc>
          <w:tcPr>
            <w:tcW w:w="721" w:type="dxa"/>
            <w:tcBorders>
              <w:top w:val="single" w:color="auto" w:sz="4" w:space="0"/>
              <w:left w:val="single" w:color="auto" w:sz="4" w:space="0"/>
              <w:bottom w:val="single" w:color="auto" w:sz="4" w:space="0"/>
              <w:right w:val="single" w:color="auto" w:sz="4" w:space="0"/>
            </w:tcBorders>
          </w:tcPr>
          <w:p>
            <w:pPr>
              <w:spacing w:line="440" w:lineRule="exact"/>
              <w:jc w:val="center"/>
              <w:rPr>
                <w:szCs w:val="21"/>
              </w:rPr>
            </w:pPr>
          </w:p>
        </w:tc>
        <w:tc>
          <w:tcPr>
            <w:tcW w:w="719" w:type="dxa"/>
            <w:tcBorders>
              <w:top w:val="single" w:color="auto" w:sz="4" w:space="0"/>
              <w:left w:val="single" w:color="auto" w:sz="4" w:space="0"/>
              <w:bottom w:val="single" w:color="auto" w:sz="4" w:space="0"/>
              <w:right w:val="single" w:color="auto" w:sz="4" w:space="0"/>
            </w:tcBorders>
          </w:tcPr>
          <w:p>
            <w:pPr>
              <w:spacing w:line="440" w:lineRule="exact"/>
              <w:jc w:val="center"/>
              <w:rPr>
                <w:szCs w:val="21"/>
              </w:rPr>
            </w:pPr>
          </w:p>
        </w:tc>
        <w:tc>
          <w:tcPr>
            <w:tcW w:w="2523" w:type="dxa"/>
            <w:tcBorders>
              <w:top w:val="single" w:color="auto" w:sz="4" w:space="0"/>
              <w:left w:val="single" w:color="auto" w:sz="4" w:space="0"/>
              <w:bottom w:val="single" w:color="auto" w:sz="4" w:space="0"/>
              <w:right w:val="single" w:color="auto" w:sz="4" w:space="0"/>
            </w:tcBorders>
          </w:tcPr>
          <w:p>
            <w:pPr>
              <w:spacing w:line="440" w:lineRule="exact"/>
              <w:jc w:val="center"/>
              <w:rPr>
                <w:szCs w:val="21"/>
              </w:rPr>
            </w:pPr>
          </w:p>
        </w:tc>
        <w:tc>
          <w:tcPr>
            <w:tcW w:w="672" w:type="dxa"/>
            <w:tcBorders>
              <w:top w:val="single" w:color="auto" w:sz="4" w:space="0"/>
              <w:left w:val="single" w:color="auto" w:sz="4" w:space="0"/>
              <w:bottom w:val="single" w:color="auto" w:sz="4" w:space="0"/>
              <w:right w:val="single" w:color="auto" w:sz="4" w:space="0"/>
            </w:tcBorders>
          </w:tcPr>
          <w:p>
            <w:pPr>
              <w:spacing w:line="440" w:lineRule="exact"/>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7" w:type="dxa"/>
            <w:tcBorders>
              <w:top w:val="single" w:color="auto" w:sz="4" w:space="0"/>
              <w:left w:val="single" w:color="auto" w:sz="4" w:space="0"/>
              <w:bottom w:val="single" w:color="auto" w:sz="4" w:space="0"/>
              <w:right w:val="single" w:color="auto" w:sz="4" w:space="0"/>
            </w:tcBorders>
          </w:tcPr>
          <w:p>
            <w:pPr>
              <w:spacing w:line="440" w:lineRule="exact"/>
              <w:jc w:val="center"/>
              <w:rPr>
                <w:szCs w:val="21"/>
              </w:rPr>
            </w:pPr>
          </w:p>
        </w:tc>
        <w:tc>
          <w:tcPr>
            <w:tcW w:w="721" w:type="dxa"/>
            <w:tcBorders>
              <w:top w:val="single" w:color="auto" w:sz="4" w:space="0"/>
              <w:left w:val="single" w:color="auto" w:sz="4" w:space="0"/>
              <w:bottom w:val="single" w:color="auto" w:sz="4" w:space="0"/>
              <w:right w:val="single" w:color="auto" w:sz="4" w:space="0"/>
            </w:tcBorders>
          </w:tcPr>
          <w:p>
            <w:pPr>
              <w:spacing w:line="440" w:lineRule="exact"/>
              <w:jc w:val="center"/>
              <w:rPr>
                <w:szCs w:val="21"/>
              </w:rPr>
            </w:pPr>
          </w:p>
        </w:tc>
        <w:tc>
          <w:tcPr>
            <w:tcW w:w="719" w:type="dxa"/>
            <w:tcBorders>
              <w:top w:val="single" w:color="auto" w:sz="4" w:space="0"/>
              <w:left w:val="single" w:color="auto" w:sz="4" w:space="0"/>
              <w:bottom w:val="single" w:color="auto" w:sz="4" w:space="0"/>
              <w:right w:val="single" w:color="auto" w:sz="4" w:space="0"/>
            </w:tcBorders>
          </w:tcPr>
          <w:p>
            <w:pPr>
              <w:spacing w:line="440" w:lineRule="exact"/>
              <w:jc w:val="center"/>
              <w:rPr>
                <w:szCs w:val="21"/>
              </w:rPr>
            </w:pPr>
          </w:p>
        </w:tc>
        <w:tc>
          <w:tcPr>
            <w:tcW w:w="1081" w:type="dxa"/>
            <w:tcBorders>
              <w:top w:val="single" w:color="auto" w:sz="4" w:space="0"/>
              <w:left w:val="single" w:color="auto" w:sz="4" w:space="0"/>
              <w:bottom w:val="single" w:color="auto" w:sz="4" w:space="0"/>
              <w:right w:val="single" w:color="auto" w:sz="4" w:space="0"/>
            </w:tcBorders>
          </w:tcPr>
          <w:p>
            <w:pPr>
              <w:spacing w:line="440" w:lineRule="exact"/>
              <w:jc w:val="center"/>
              <w:rPr>
                <w:szCs w:val="21"/>
              </w:rPr>
            </w:pPr>
          </w:p>
        </w:tc>
        <w:tc>
          <w:tcPr>
            <w:tcW w:w="719" w:type="dxa"/>
            <w:tcBorders>
              <w:top w:val="single" w:color="auto" w:sz="4" w:space="0"/>
              <w:left w:val="single" w:color="auto" w:sz="4" w:space="0"/>
              <w:bottom w:val="single" w:color="auto" w:sz="4" w:space="0"/>
              <w:right w:val="single" w:color="auto" w:sz="4" w:space="0"/>
            </w:tcBorders>
          </w:tcPr>
          <w:p>
            <w:pPr>
              <w:spacing w:line="440" w:lineRule="exact"/>
              <w:jc w:val="center"/>
              <w:rPr>
                <w:szCs w:val="21"/>
              </w:rPr>
            </w:pPr>
          </w:p>
        </w:tc>
        <w:tc>
          <w:tcPr>
            <w:tcW w:w="721" w:type="dxa"/>
            <w:tcBorders>
              <w:top w:val="single" w:color="auto" w:sz="4" w:space="0"/>
              <w:left w:val="single" w:color="auto" w:sz="4" w:space="0"/>
              <w:bottom w:val="single" w:color="auto" w:sz="4" w:space="0"/>
              <w:right w:val="single" w:color="auto" w:sz="4" w:space="0"/>
            </w:tcBorders>
          </w:tcPr>
          <w:p>
            <w:pPr>
              <w:spacing w:line="440" w:lineRule="exact"/>
              <w:jc w:val="center"/>
              <w:rPr>
                <w:szCs w:val="21"/>
              </w:rPr>
            </w:pPr>
          </w:p>
        </w:tc>
        <w:tc>
          <w:tcPr>
            <w:tcW w:w="719" w:type="dxa"/>
            <w:tcBorders>
              <w:top w:val="single" w:color="auto" w:sz="4" w:space="0"/>
              <w:left w:val="single" w:color="auto" w:sz="4" w:space="0"/>
              <w:bottom w:val="single" w:color="auto" w:sz="4" w:space="0"/>
              <w:right w:val="single" w:color="auto" w:sz="4" w:space="0"/>
            </w:tcBorders>
          </w:tcPr>
          <w:p>
            <w:pPr>
              <w:spacing w:line="440" w:lineRule="exact"/>
              <w:jc w:val="center"/>
              <w:rPr>
                <w:szCs w:val="21"/>
              </w:rPr>
            </w:pPr>
          </w:p>
        </w:tc>
        <w:tc>
          <w:tcPr>
            <w:tcW w:w="2523" w:type="dxa"/>
            <w:tcBorders>
              <w:top w:val="single" w:color="auto" w:sz="4" w:space="0"/>
              <w:left w:val="single" w:color="auto" w:sz="4" w:space="0"/>
              <w:bottom w:val="single" w:color="auto" w:sz="4" w:space="0"/>
              <w:right w:val="single" w:color="auto" w:sz="4" w:space="0"/>
            </w:tcBorders>
          </w:tcPr>
          <w:p>
            <w:pPr>
              <w:spacing w:line="440" w:lineRule="exact"/>
              <w:jc w:val="center"/>
              <w:rPr>
                <w:szCs w:val="21"/>
              </w:rPr>
            </w:pPr>
          </w:p>
        </w:tc>
        <w:tc>
          <w:tcPr>
            <w:tcW w:w="672" w:type="dxa"/>
            <w:tcBorders>
              <w:top w:val="single" w:color="auto" w:sz="4" w:space="0"/>
              <w:left w:val="single" w:color="auto" w:sz="4" w:space="0"/>
              <w:bottom w:val="single" w:color="auto" w:sz="4" w:space="0"/>
              <w:right w:val="single" w:color="auto" w:sz="4" w:space="0"/>
            </w:tcBorders>
          </w:tcPr>
          <w:p>
            <w:pPr>
              <w:spacing w:line="440" w:lineRule="exact"/>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7" w:type="dxa"/>
            <w:tcBorders>
              <w:top w:val="single" w:color="auto" w:sz="4" w:space="0"/>
              <w:left w:val="single" w:color="auto" w:sz="4" w:space="0"/>
              <w:bottom w:val="single" w:color="auto" w:sz="4" w:space="0"/>
              <w:right w:val="single" w:color="auto" w:sz="4" w:space="0"/>
            </w:tcBorders>
          </w:tcPr>
          <w:p>
            <w:pPr>
              <w:spacing w:line="440" w:lineRule="exact"/>
              <w:jc w:val="center"/>
              <w:rPr>
                <w:szCs w:val="21"/>
              </w:rPr>
            </w:pPr>
          </w:p>
        </w:tc>
        <w:tc>
          <w:tcPr>
            <w:tcW w:w="721" w:type="dxa"/>
            <w:tcBorders>
              <w:top w:val="single" w:color="auto" w:sz="4" w:space="0"/>
              <w:left w:val="single" w:color="auto" w:sz="4" w:space="0"/>
              <w:bottom w:val="single" w:color="auto" w:sz="4" w:space="0"/>
              <w:right w:val="single" w:color="auto" w:sz="4" w:space="0"/>
            </w:tcBorders>
          </w:tcPr>
          <w:p>
            <w:pPr>
              <w:spacing w:line="440" w:lineRule="exact"/>
              <w:jc w:val="center"/>
              <w:rPr>
                <w:szCs w:val="21"/>
              </w:rPr>
            </w:pPr>
          </w:p>
        </w:tc>
        <w:tc>
          <w:tcPr>
            <w:tcW w:w="719" w:type="dxa"/>
            <w:tcBorders>
              <w:top w:val="single" w:color="auto" w:sz="4" w:space="0"/>
              <w:left w:val="single" w:color="auto" w:sz="4" w:space="0"/>
              <w:bottom w:val="single" w:color="auto" w:sz="4" w:space="0"/>
              <w:right w:val="single" w:color="auto" w:sz="4" w:space="0"/>
            </w:tcBorders>
          </w:tcPr>
          <w:p>
            <w:pPr>
              <w:spacing w:line="440" w:lineRule="exact"/>
              <w:jc w:val="center"/>
              <w:rPr>
                <w:szCs w:val="21"/>
              </w:rPr>
            </w:pPr>
          </w:p>
        </w:tc>
        <w:tc>
          <w:tcPr>
            <w:tcW w:w="1081" w:type="dxa"/>
            <w:tcBorders>
              <w:top w:val="single" w:color="auto" w:sz="4" w:space="0"/>
              <w:left w:val="single" w:color="auto" w:sz="4" w:space="0"/>
              <w:bottom w:val="single" w:color="auto" w:sz="4" w:space="0"/>
              <w:right w:val="single" w:color="auto" w:sz="4" w:space="0"/>
            </w:tcBorders>
          </w:tcPr>
          <w:p>
            <w:pPr>
              <w:spacing w:line="440" w:lineRule="exact"/>
              <w:jc w:val="center"/>
              <w:rPr>
                <w:szCs w:val="21"/>
              </w:rPr>
            </w:pPr>
          </w:p>
        </w:tc>
        <w:tc>
          <w:tcPr>
            <w:tcW w:w="719" w:type="dxa"/>
            <w:tcBorders>
              <w:top w:val="single" w:color="auto" w:sz="4" w:space="0"/>
              <w:left w:val="single" w:color="auto" w:sz="4" w:space="0"/>
              <w:bottom w:val="single" w:color="auto" w:sz="4" w:space="0"/>
              <w:right w:val="single" w:color="auto" w:sz="4" w:space="0"/>
            </w:tcBorders>
          </w:tcPr>
          <w:p>
            <w:pPr>
              <w:spacing w:line="440" w:lineRule="exact"/>
              <w:jc w:val="center"/>
              <w:rPr>
                <w:szCs w:val="21"/>
              </w:rPr>
            </w:pPr>
          </w:p>
        </w:tc>
        <w:tc>
          <w:tcPr>
            <w:tcW w:w="721" w:type="dxa"/>
            <w:tcBorders>
              <w:top w:val="single" w:color="auto" w:sz="4" w:space="0"/>
              <w:left w:val="single" w:color="auto" w:sz="4" w:space="0"/>
              <w:bottom w:val="single" w:color="auto" w:sz="4" w:space="0"/>
              <w:right w:val="single" w:color="auto" w:sz="4" w:space="0"/>
            </w:tcBorders>
          </w:tcPr>
          <w:p>
            <w:pPr>
              <w:spacing w:line="440" w:lineRule="exact"/>
              <w:jc w:val="center"/>
              <w:rPr>
                <w:szCs w:val="21"/>
              </w:rPr>
            </w:pPr>
          </w:p>
        </w:tc>
        <w:tc>
          <w:tcPr>
            <w:tcW w:w="719" w:type="dxa"/>
            <w:tcBorders>
              <w:top w:val="single" w:color="auto" w:sz="4" w:space="0"/>
              <w:left w:val="single" w:color="auto" w:sz="4" w:space="0"/>
              <w:bottom w:val="single" w:color="auto" w:sz="4" w:space="0"/>
              <w:right w:val="single" w:color="auto" w:sz="4" w:space="0"/>
            </w:tcBorders>
          </w:tcPr>
          <w:p>
            <w:pPr>
              <w:spacing w:line="440" w:lineRule="exact"/>
              <w:jc w:val="center"/>
              <w:rPr>
                <w:szCs w:val="21"/>
              </w:rPr>
            </w:pPr>
          </w:p>
        </w:tc>
        <w:tc>
          <w:tcPr>
            <w:tcW w:w="2523" w:type="dxa"/>
            <w:tcBorders>
              <w:top w:val="single" w:color="auto" w:sz="4" w:space="0"/>
              <w:left w:val="single" w:color="auto" w:sz="4" w:space="0"/>
              <w:bottom w:val="single" w:color="auto" w:sz="4" w:space="0"/>
              <w:right w:val="single" w:color="auto" w:sz="4" w:space="0"/>
            </w:tcBorders>
          </w:tcPr>
          <w:p>
            <w:pPr>
              <w:spacing w:line="440" w:lineRule="exact"/>
              <w:jc w:val="center"/>
              <w:rPr>
                <w:szCs w:val="21"/>
              </w:rPr>
            </w:pPr>
          </w:p>
        </w:tc>
        <w:tc>
          <w:tcPr>
            <w:tcW w:w="672" w:type="dxa"/>
            <w:tcBorders>
              <w:top w:val="single" w:color="auto" w:sz="4" w:space="0"/>
              <w:left w:val="single" w:color="auto" w:sz="4" w:space="0"/>
              <w:bottom w:val="single" w:color="auto" w:sz="4" w:space="0"/>
              <w:right w:val="single" w:color="auto" w:sz="4" w:space="0"/>
            </w:tcBorders>
          </w:tcPr>
          <w:p>
            <w:pPr>
              <w:spacing w:line="440" w:lineRule="exact"/>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7" w:type="dxa"/>
            <w:tcBorders>
              <w:top w:val="single" w:color="auto" w:sz="4" w:space="0"/>
              <w:left w:val="single" w:color="auto" w:sz="4" w:space="0"/>
              <w:bottom w:val="single" w:color="auto" w:sz="4" w:space="0"/>
              <w:right w:val="single" w:color="auto" w:sz="4" w:space="0"/>
            </w:tcBorders>
          </w:tcPr>
          <w:p>
            <w:pPr>
              <w:spacing w:line="440" w:lineRule="exact"/>
              <w:jc w:val="center"/>
              <w:rPr>
                <w:szCs w:val="21"/>
              </w:rPr>
            </w:pPr>
          </w:p>
        </w:tc>
        <w:tc>
          <w:tcPr>
            <w:tcW w:w="721" w:type="dxa"/>
            <w:tcBorders>
              <w:top w:val="single" w:color="auto" w:sz="4" w:space="0"/>
              <w:left w:val="single" w:color="auto" w:sz="4" w:space="0"/>
              <w:bottom w:val="single" w:color="auto" w:sz="4" w:space="0"/>
              <w:right w:val="single" w:color="auto" w:sz="4" w:space="0"/>
            </w:tcBorders>
          </w:tcPr>
          <w:p>
            <w:pPr>
              <w:spacing w:line="440" w:lineRule="exact"/>
              <w:jc w:val="center"/>
              <w:rPr>
                <w:szCs w:val="21"/>
              </w:rPr>
            </w:pPr>
          </w:p>
        </w:tc>
        <w:tc>
          <w:tcPr>
            <w:tcW w:w="719" w:type="dxa"/>
            <w:tcBorders>
              <w:top w:val="single" w:color="auto" w:sz="4" w:space="0"/>
              <w:left w:val="single" w:color="auto" w:sz="4" w:space="0"/>
              <w:bottom w:val="single" w:color="auto" w:sz="4" w:space="0"/>
              <w:right w:val="single" w:color="auto" w:sz="4" w:space="0"/>
            </w:tcBorders>
          </w:tcPr>
          <w:p>
            <w:pPr>
              <w:spacing w:line="440" w:lineRule="exact"/>
              <w:jc w:val="center"/>
              <w:rPr>
                <w:szCs w:val="21"/>
              </w:rPr>
            </w:pPr>
          </w:p>
        </w:tc>
        <w:tc>
          <w:tcPr>
            <w:tcW w:w="1081" w:type="dxa"/>
            <w:tcBorders>
              <w:top w:val="single" w:color="auto" w:sz="4" w:space="0"/>
              <w:left w:val="single" w:color="auto" w:sz="4" w:space="0"/>
              <w:bottom w:val="single" w:color="auto" w:sz="4" w:space="0"/>
              <w:right w:val="single" w:color="auto" w:sz="4" w:space="0"/>
            </w:tcBorders>
          </w:tcPr>
          <w:p>
            <w:pPr>
              <w:spacing w:line="440" w:lineRule="exact"/>
              <w:jc w:val="center"/>
              <w:rPr>
                <w:szCs w:val="21"/>
              </w:rPr>
            </w:pPr>
          </w:p>
        </w:tc>
        <w:tc>
          <w:tcPr>
            <w:tcW w:w="719" w:type="dxa"/>
            <w:tcBorders>
              <w:top w:val="single" w:color="auto" w:sz="4" w:space="0"/>
              <w:left w:val="single" w:color="auto" w:sz="4" w:space="0"/>
              <w:bottom w:val="single" w:color="auto" w:sz="4" w:space="0"/>
              <w:right w:val="single" w:color="auto" w:sz="4" w:space="0"/>
            </w:tcBorders>
          </w:tcPr>
          <w:p>
            <w:pPr>
              <w:spacing w:line="440" w:lineRule="exact"/>
              <w:jc w:val="center"/>
              <w:rPr>
                <w:szCs w:val="21"/>
              </w:rPr>
            </w:pPr>
          </w:p>
        </w:tc>
        <w:tc>
          <w:tcPr>
            <w:tcW w:w="721" w:type="dxa"/>
            <w:tcBorders>
              <w:top w:val="single" w:color="auto" w:sz="4" w:space="0"/>
              <w:left w:val="single" w:color="auto" w:sz="4" w:space="0"/>
              <w:bottom w:val="single" w:color="auto" w:sz="4" w:space="0"/>
              <w:right w:val="single" w:color="auto" w:sz="4" w:space="0"/>
            </w:tcBorders>
          </w:tcPr>
          <w:p>
            <w:pPr>
              <w:spacing w:line="440" w:lineRule="exact"/>
              <w:jc w:val="center"/>
              <w:rPr>
                <w:szCs w:val="21"/>
              </w:rPr>
            </w:pPr>
          </w:p>
        </w:tc>
        <w:tc>
          <w:tcPr>
            <w:tcW w:w="719" w:type="dxa"/>
            <w:tcBorders>
              <w:top w:val="single" w:color="auto" w:sz="4" w:space="0"/>
              <w:left w:val="single" w:color="auto" w:sz="4" w:space="0"/>
              <w:bottom w:val="single" w:color="auto" w:sz="4" w:space="0"/>
              <w:right w:val="single" w:color="auto" w:sz="4" w:space="0"/>
            </w:tcBorders>
          </w:tcPr>
          <w:p>
            <w:pPr>
              <w:spacing w:line="440" w:lineRule="exact"/>
              <w:jc w:val="center"/>
              <w:rPr>
                <w:szCs w:val="21"/>
              </w:rPr>
            </w:pPr>
          </w:p>
        </w:tc>
        <w:tc>
          <w:tcPr>
            <w:tcW w:w="2523" w:type="dxa"/>
            <w:tcBorders>
              <w:top w:val="single" w:color="auto" w:sz="4" w:space="0"/>
              <w:left w:val="single" w:color="auto" w:sz="4" w:space="0"/>
              <w:bottom w:val="single" w:color="auto" w:sz="4" w:space="0"/>
              <w:right w:val="single" w:color="auto" w:sz="4" w:space="0"/>
            </w:tcBorders>
          </w:tcPr>
          <w:p>
            <w:pPr>
              <w:spacing w:line="440" w:lineRule="exact"/>
              <w:jc w:val="center"/>
              <w:rPr>
                <w:szCs w:val="21"/>
              </w:rPr>
            </w:pPr>
          </w:p>
        </w:tc>
        <w:tc>
          <w:tcPr>
            <w:tcW w:w="672" w:type="dxa"/>
            <w:tcBorders>
              <w:top w:val="single" w:color="auto" w:sz="4" w:space="0"/>
              <w:left w:val="single" w:color="auto" w:sz="4" w:space="0"/>
              <w:bottom w:val="single" w:color="auto" w:sz="4" w:space="0"/>
              <w:right w:val="single" w:color="auto" w:sz="4" w:space="0"/>
            </w:tcBorders>
          </w:tcPr>
          <w:p>
            <w:pPr>
              <w:spacing w:line="440" w:lineRule="exact"/>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7" w:type="dxa"/>
            <w:tcBorders>
              <w:top w:val="single" w:color="auto" w:sz="4" w:space="0"/>
              <w:left w:val="single" w:color="auto" w:sz="4" w:space="0"/>
              <w:bottom w:val="single" w:color="auto" w:sz="4" w:space="0"/>
              <w:right w:val="single" w:color="auto" w:sz="4" w:space="0"/>
            </w:tcBorders>
          </w:tcPr>
          <w:p>
            <w:pPr>
              <w:spacing w:line="440" w:lineRule="exact"/>
              <w:jc w:val="center"/>
              <w:rPr>
                <w:szCs w:val="21"/>
              </w:rPr>
            </w:pPr>
          </w:p>
        </w:tc>
        <w:tc>
          <w:tcPr>
            <w:tcW w:w="721" w:type="dxa"/>
            <w:tcBorders>
              <w:top w:val="single" w:color="auto" w:sz="4" w:space="0"/>
              <w:left w:val="single" w:color="auto" w:sz="4" w:space="0"/>
              <w:bottom w:val="single" w:color="auto" w:sz="4" w:space="0"/>
              <w:right w:val="single" w:color="auto" w:sz="4" w:space="0"/>
            </w:tcBorders>
          </w:tcPr>
          <w:p>
            <w:pPr>
              <w:spacing w:line="440" w:lineRule="exact"/>
              <w:jc w:val="center"/>
              <w:rPr>
                <w:szCs w:val="21"/>
              </w:rPr>
            </w:pPr>
          </w:p>
        </w:tc>
        <w:tc>
          <w:tcPr>
            <w:tcW w:w="719" w:type="dxa"/>
            <w:tcBorders>
              <w:top w:val="single" w:color="auto" w:sz="4" w:space="0"/>
              <w:left w:val="single" w:color="auto" w:sz="4" w:space="0"/>
              <w:bottom w:val="single" w:color="auto" w:sz="4" w:space="0"/>
              <w:right w:val="single" w:color="auto" w:sz="4" w:space="0"/>
            </w:tcBorders>
          </w:tcPr>
          <w:p>
            <w:pPr>
              <w:spacing w:line="440" w:lineRule="exact"/>
              <w:jc w:val="center"/>
              <w:rPr>
                <w:szCs w:val="21"/>
              </w:rPr>
            </w:pPr>
          </w:p>
        </w:tc>
        <w:tc>
          <w:tcPr>
            <w:tcW w:w="1081" w:type="dxa"/>
            <w:tcBorders>
              <w:top w:val="single" w:color="auto" w:sz="4" w:space="0"/>
              <w:left w:val="single" w:color="auto" w:sz="4" w:space="0"/>
              <w:bottom w:val="single" w:color="auto" w:sz="4" w:space="0"/>
              <w:right w:val="single" w:color="auto" w:sz="4" w:space="0"/>
            </w:tcBorders>
          </w:tcPr>
          <w:p>
            <w:pPr>
              <w:spacing w:line="440" w:lineRule="exact"/>
              <w:jc w:val="center"/>
              <w:rPr>
                <w:szCs w:val="21"/>
              </w:rPr>
            </w:pPr>
          </w:p>
        </w:tc>
        <w:tc>
          <w:tcPr>
            <w:tcW w:w="719" w:type="dxa"/>
            <w:tcBorders>
              <w:top w:val="single" w:color="auto" w:sz="4" w:space="0"/>
              <w:left w:val="single" w:color="auto" w:sz="4" w:space="0"/>
              <w:bottom w:val="single" w:color="auto" w:sz="4" w:space="0"/>
              <w:right w:val="single" w:color="auto" w:sz="4" w:space="0"/>
            </w:tcBorders>
          </w:tcPr>
          <w:p>
            <w:pPr>
              <w:spacing w:line="440" w:lineRule="exact"/>
              <w:jc w:val="center"/>
              <w:rPr>
                <w:szCs w:val="21"/>
              </w:rPr>
            </w:pPr>
          </w:p>
        </w:tc>
        <w:tc>
          <w:tcPr>
            <w:tcW w:w="721" w:type="dxa"/>
            <w:tcBorders>
              <w:top w:val="single" w:color="auto" w:sz="4" w:space="0"/>
              <w:left w:val="single" w:color="auto" w:sz="4" w:space="0"/>
              <w:bottom w:val="single" w:color="auto" w:sz="4" w:space="0"/>
              <w:right w:val="single" w:color="auto" w:sz="4" w:space="0"/>
            </w:tcBorders>
          </w:tcPr>
          <w:p>
            <w:pPr>
              <w:spacing w:line="440" w:lineRule="exact"/>
              <w:jc w:val="center"/>
              <w:rPr>
                <w:szCs w:val="21"/>
              </w:rPr>
            </w:pPr>
          </w:p>
        </w:tc>
        <w:tc>
          <w:tcPr>
            <w:tcW w:w="719" w:type="dxa"/>
            <w:tcBorders>
              <w:top w:val="single" w:color="auto" w:sz="4" w:space="0"/>
              <w:left w:val="single" w:color="auto" w:sz="4" w:space="0"/>
              <w:bottom w:val="single" w:color="auto" w:sz="4" w:space="0"/>
              <w:right w:val="single" w:color="auto" w:sz="4" w:space="0"/>
            </w:tcBorders>
          </w:tcPr>
          <w:p>
            <w:pPr>
              <w:spacing w:line="440" w:lineRule="exact"/>
              <w:jc w:val="center"/>
              <w:rPr>
                <w:szCs w:val="21"/>
              </w:rPr>
            </w:pPr>
          </w:p>
        </w:tc>
        <w:tc>
          <w:tcPr>
            <w:tcW w:w="2523" w:type="dxa"/>
            <w:tcBorders>
              <w:top w:val="single" w:color="auto" w:sz="4" w:space="0"/>
              <w:left w:val="single" w:color="auto" w:sz="4" w:space="0"/>
              <w:bottom w:val="single" w:color="auto" w:sz="4" w:space="0"/>
              <w:right w:val="single" w:color="auto" w:sz="4" w:space="0"/>
            </w:tcBorders>
          </w:tcPr>
          <w:p>
            <w:pPr>
              <w:spacing w:line="440" w:lineRule="exact"/>
              <w:jc w:val="center"/>
              <w:rPr>
                <w:szCs w:val="21"/>
              </w:rPr>
            </w:pPr>
          </w:p>
        </w:tc>
        <w:tc>
          <w:tcPr>
            <w:tcW w:w="672" w:type="dxa"/>
            <w:tcBorders>
              <w:top w:val="single" w:color="auto" w:sz="4" w:space="0"/>
              <w:left w:val="single" w:color="auto" w:sz="4" w:space="0"/>
              <w:bottom w:val="single" w:color="auto" w:sz="4" w:space="0"/>
              <w:right w:val="single" w:color="auto" w:sz="4" w:space="0"/>
            </w:tcBorders>
          </w:tcPr>
          <w:p>
            <w:pPr>
              <w:spacing w:line="440" w:lineRule="exact"/>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7" w:type="dxa"/>
            <w:tcBorders>
              <w:top w:val="single" w:color="auto" w:sz="4" w:space="0"/>
              <w:left w:val="single" w:color="auto" w:sz="4" w:space="0"/>
              <w:bottom w:val="single" w:color="auto" w:sz="4" w:space="0"/>
              <w:right w:val="single" w:color="auto" w:sz="4" w:space="0"/>
            </w:tcBorders>
          </w:tcPr>
          <w:p>
            <w:pPr>
              <w:spacing w:line="440" w:lineRule="exact"/>
              <w:jc w:val="center"/>
              <w:rPr>
                <w:szCs w:val="21"/>
              </w:rPr>
            </w:pPr>
          </w:p>
        </w:tc>
        <w:tc>
          <w:tcPr>
            <w:tcW w:w="721" w:type="dxa"/>
            <w:tcBorders>
              <w:top w:val="single" w:color="auto" w:sz="4" w:space="0"/>
              <w:left w:val="single" w:color="auto" w:sz="4" w:space="0"/>
              <w:bottom w:val="single" w:color="auto" w:sz="4" w:space="0"/>
              <w:right w:val="single" w:color="auto" w:sz="4" w:space="0"/>
            </w:tcBorders>
          </w:tcPr>
          <w:p>
            <w:pPr>
              <w:spacing w:line="440" w:lineRule="exact"/>
              <w:jc w:val="center"/>
              <w:rPr>
                <w:szCs w:val="21"/>
              </w:rPr>
            </w:pPr>
          </w:p>
        </w:tc>
        <w:tc>
          <w:tcPr>
            <w:tcW w:w="719" w:type="dxa"/>
            <w:tcBorders>
              <w:top w:val="single" w:color="auto" w:sz="4" w:space="0"/>
              <w:left w:val="single" w:color="auto" w:sz="4" w:space="0"/>
              <w:bottom w:val="single" w:color="auto" w:sz="4" w:space="0"/>
              <w:right w:val="single" w:color="auto" w:sz="4" w:space="0"/>
            </w:tcBorders>
          </w:tcPr>
          <w:p>
            <w:pPr>
              <w:spacing w:line="440" w:lineRule="exact"/>
              <w:jc w:val="center"/>
              <w:rPr>
                <w:szCs w:val="21"/>
              </w:rPr>
            </w:pPr>
          </w:p>
        </w:tc>
        <w:tc>
          <w:tcPr>
            <w:tcW w:w="1081" w:type="dxa"/>
            <w:tcBorders>
              <w:top w:val="single" w:color="auto" w:sz="4" w:space="0"/>
              <w:left w:val="single" w:color="auto" w:sz="4" w:space="0"/>
              <w:bottom w:val="single" w:color="auto" w:sz="4" w:space="0"/>
              <w:right w:val="single" w:color="auto" w:sz="4" w:space="0"/>
            </w:tcBorders>
          </w:tcPr>
          <w:p>
            <w:pPr>
              <w:spacing w:line="440" w:lineRule="exact"/>
              <w:jc w:val="center"/>
              <w:rPr>
                <w:szCs w:val="21"/>
              </w:rPr>
            </w:pPr>
          </w:p>
        </w:tc>
        <w:tc>
          <w:tcPr>
            <w:tcW w:w="719" w:type="dxa"/>
            <w:tcBorders>
              <w:top w:val="single" w:color="auto" w:sz="4" w:space="0"/>
              <w:left w:val="single" w:color="auto" w:sz="4" w:space="0"/>
              <w:bottom w:val="single" w:color="auto" w:sz="4" w:space="0"/>
              <w:right w:val="single" w:color="auto" w:sz="4" w:space="0"/>
            </w:tcBorders>
          </w:tcPr>
          <w:p>
            <w:pPr>
              <w:spacing w:line="440" w:lineRule="exact"/>
              <w:jc w:val="center"/>
              <w:rPr>
                <w:szCs w:val="21"/>
              </w:rPr>
            </w:pPr>
          </w:p>
        </w:tc>
        <w:tc>
          <w:tcPr>
            <w:tcW w:w="721" w:type="dxa"/>
            <w:tcBorders>
              <w:top w:val="single" w:color="auto" w:sz="4" w:space="0"/>
              <w:left w:val="single" w:color="auto" w:sz="4" w:space="0"/>
              <w:bottom w:val="single" w:color="auto" w:sz="4" w:space="0"/>
              <w:right w:val="single" w:color="auto" w:sz="4" w:space="0"/>
            </w:tcBorders>
          </w:tcPr>
          <w:p>
            <w:pPr>
              <w:spacing w:line="440" w:lineRule="exact"/>
              <w:jc w:val="center"/>
              <w:rPr>
                <w:szCs w:val="21"/>
              </w:rPr>
            </w:pPr>
          </w:p>
        </w:tc>
        <w:tc>
          <w:tcPr>
            <w:tcW w:w="719" w:type="dxa"/>
            <w:tcBorders>
              <w:top w:val="single" w:color="auto" w:sz="4" w:space="0"/>
              <w:left w:val="single" w:color="auto" w:sz="4" w:space="0"/>
              <w:bottom w:val="single" w:color="auto" w:sz="4" w:space="0"/>
              <w:right w:val="single" w:color="auto" w:sz="4" w:space="0"/>
            </w:tcBorders>
          </w:tcPr>
          <w:p>
            <w:pPr>
              <w:spacing w:line="440" w:lineRule="exact"/>
              <w:jc w:val="center"/>
              <w:rPr>
                <w:szCs w:val="21"/>
              </w:rPr>
            </w:pPr>
          </w:p>
        </w:tc>
        <w:tc>
          <w:tcPr>
            <w:tcW w:w="2523" w:type="dxa"/>
            <w:tcBorders>
              <w:top w:val="single" w:color="auto" w:sz="4" w:space="0"/>
              <w:left w:val="single" w:color="auto" w:sz="4" w:space="0"/>
              <w:bottom w:val="single" w:color="auto" w:sz="4" w:space="0"/>
              <w:right w:val="single" w:color="auto" w:sz="4" w:space="0"/>
            </w:tcBorders>
          </w:tcPr>
          <w:p>
            <w:pPr>
              <w:spacing w:line="440" w:lineRule="exact"/>
              <w:jc w:val="center"/>
              <w:rPr>
                <w:szCs w:val="21"/>
              </w:rPr>
            </w:pPr>
          </w:p>
        </w:tc>
        <w:tc>
          <w:tcPr>
            <w:tcW w:w="672" w:type="dxa"/>
            <w:tcBorders>
              <w:top w:val="single" w:color="auto" w:sz="4" w:space="0"/>
              <w:left w:val="single" w:color="auto" w:sz="4" w:space="0"/>
              <w:bottom w:val="single" w:color="auto" w:sz="4" w:space="0"/>
              <w:right w:val="single" w:color="auto" w:sz="4" w:space="0"/>
            </w:tcBorders>
          </w:tcPr>
          <w:p>
            <w:pPr>
              <w:spacing w:line="440" w:lineRule="exact"/>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7" w:type="dxa"/>
            <w:tcBorders>
              <w:top w:val="single" w:color="auto" w:sz="4" w:space="0"/>
              <w:left w:val="single" w:color="auto" w:sz="4" w:space="0"/>
              <w:bottom w:val="single" w:color="auto" w:sz="4" w:space="0"/>
              <w:right w:val="single" w:color="auto" w:sz="4" w:space="0"/>
            </w:tcBorders>
          </w:tcPr>
          <w:p>
            <w:pPr>
              <w:spacing w:line="440" w:lineRule="exact"/>
              <w:jc w:val="center"/>
              <w:rPr>
                <w:szCs w:val="21"/>
              </w:rPr>
            </w:pPr>
          </w:p>
        </w:tc>
        <w:tc>
          <w:tcPr>
            <w:tcW w:w="721" w:type="dxa"/>
            <w:tcBorders>
              <w:top w:val="single" w:color="auto" w:sz="4" w:space="0"/>
              <w:left w:val="single" w:color="auto" w:sz="4" w:space="0"/>
              <w:bottom w:val="single" w:color="auto" w:sz="4" w:space="0"/>
              <w:right w:val="single" w:color="auto" w:sz="4" w:space="0"/>
            </w:tcBorders>
          </w:tcPr>
          <w:p>
            <w:pPr>
              <w:spacing w:line="440" w:lineRule="exact"/>
              <w:jc w:val="center"/>
              <w:rPr>
                <w:szCs w:val="21"/>
              </w:rPr>
            </w:pPr>
          </w:p>
        </w:tc>
        <w:tc>
          <w:tcPr>
            <w:tcW w:w="719" w:type="dxa"/>
            <w:tcBorders>
              <w:top w:val="single" w:color="auto" w:sz="4" w:space="0"/>
              <w:left w:val="single" w:color="auto" w:sz="4" w:space="0"/>
              <w:bottom w:val="single" w:color="auto" w:sz="4" w:space="0"/>
              <w:right w:val="single" w:color="auto" w:sz="4" w:space="0"/>
            </w:tcBorders>
          </w:tcPr>
          <w:p>
            <w:pPr>
              <w:spacing w:line="440" w:lineRule="exact"/>
              <w:jc w:val="center"/>
              <w:rPr>
                <w:szCs w:val="21"/>
              </w:rPr>
            </w:pPr>
          </w:p>
        </w:tc>
        <w:tc>
          <w:tcPr>
            <w:tcW w:w="1081" w:type="dxa"/>
            <w:tcBorders>
              <w:top w:val="single" w:color="auto" w:sz="4" w:space="0"/>
              <w:left w:val="single" w:color="auto" w:sz="4" w:space="0"/>
              <w:bottom w:val="single" w:color="auto" w:sz="4" w:space="0"/>
              <w:right w:val="single" w:color="auto" w:sz="4" w:space="0"/>
            </w:tcBorders>
          </w:tcPr>
          <w:p>
            <w:pPr>
              <w:spacing w:line="440" w:lineRule="exact"/>
              <w:jc w:val="center"/>
              <w:rPr>
                <w:szCs w:val="21"/>
              </w:rPr>
            </w:pPr>
          </w:p>
        </w:tc>
        <w:tc>
          <w:tcPr>
            <w:tcW w:w="719" w:type="dxa"/>
            <w:tcBorders>
              <w:top w:val="single" w:color="auto" w:sz="4" w:space="0"/>
              <w:left w:val="single" w:color="auto" w:sz="4" w:space="0"/>
              <w:bottom w:val="single" w:color="auto" w:sz="4" w:space="0"/>
              <w:right w:val="single" w:color="auto" w:sz="4" w:space="0"/>
            </w:tcBorders>
          </w:tcPr>
          <w:p>
            <w:pPr>
              <w:spacing w:line="440" w:lineRule="exact"/>
              <w:jc w:val="center"/>
              <w:rPr>
                <w:szCs w:val="21"/>
              </w:rPr>
            </w:pPr>
          </w:p>
        </w:tc>
        <w:tc>
          <w:tcPr>
            <w:tcW w:w="721" w:type="dxa"/>
            <w:tcBorders>
              <w:top w:val="single" w:color="auto" w:sz="4" w:space="0"/>
              <w:left w:val="single" w:color="auto" w:sz="4" w:space="0"/>
              <w:bottom w:val="single" w:color="auto" w:sz="4" w:space="0"/>
              <w:right w:val="single" w:color="auto" w:sz="4" w:space="0"/>
            </w:tcBorders>
          </w:tcPr>
          <w:p>
            <w:pPr>
              <w:spacing w:line="440" w:lineRule="exact"/>
              <w:jc w:val="center"/>
              <w:rPr>
                <w:szCs w:val="21"/>
              </w:rPr>
            </w:pPr>
          </w:p>
        </w:tc>
        <w:tc>
          <w:tcPr>
            <w:tcW w:w="719" w:type="dxa"/>
            <w:tcBorders>
              <w:top w:val="single" w:color="auto" w:sz="4" w:space="0"/>
              <w:left w:val="single" w:color="auto" w:sz="4" w:space="0"/>
              <w:bottom w:val="single" w:color="auto" w:sz="4" w:space="0"/>
              <w:right w:val="single" w:color="auto" w:sz="4" w:space="0"/>
            </w:tcBorders>
          </w:tcPr>
          <w:p>
            <w:pPr>
              <w:spacing w:line="440" w:lineRule="exact"/>
              <w:jc w:val="center"/>
              <w:rPr>
                <w:szCs w:val="21"/>
              </w:rPr>
            </w:pPr>
          </w:p>
        </w:tc>
        <w:tc>
          <w:tcPr>
            <w:tcW w:w="2523" w:type="dxa"/>
            <w:tcBorders>
              <w:top w:val="single" w:color="auto" w:sz="4" w:space="0"/>
              <w:left w:val="single" w:color="auto" w:sz="4" w:space="0"/>
              <w:bottom w:val="single" w:color="auto" w:sz="4" w:space="0"/>
              <w:right w:val="single" w:color="auto" w:sz="4" w:space="0"/>
            </w:tcBorders>
          </w:tcPr>
          <w:p>
            <w:pPr>
              <w:spacing w:line="440" w:lineRule="exact"/>
              <w:jc w:val="center"/>
              <w:rPr>
                <w:szCs w:val="21"/>
              </w:rPr>
            </w:pPr>
          </w:p>
        </w:tc>
        <w:tc>
          <w:tcPr>
            <w:tcW w:w="672" w:type="dxa"/>
            <w:tcBorders>
              <w:top w:val="single" w:color="auto" w:sz="4" w:space="0"/>
              <w:left w:val="single" w:color="auto" w:sz="4" w:space="0"/>
              <w:bottom w:val="single" w:color="auto" w:sz="4" w:space="0"/>
              <w:right w:val="single" w:color="auto" w:sz="4" w:space="0"/>
            </w:tcBorders>
          </w:tcPr>
          <w:p>
            <w:pPr>
              <w:spacing w:line="440" w:lineRule="exact"/>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7" w:type="dxa"/>
            <w:tcBorders>
              <w:top w:val="single" w:color="auto" w:sz="4" w:space="0"/>
              <w:left w:val="single" w:color="auto" w:sz="4" w:space="0"/>
              <w:bottom w:val="single" w:color="auto" w:sz="4" w:space="0"/>
              <w:right w:val="single" w:color="auto" w:sz="4" w:space="0"/>
            </w:tcBorders>
          </w:tcPr>
          <w:p>
            <w:pPr>
              <w:spacing w:line="440" w:lineRule="exact"/>
              <w:jc w:val="center"/>
              <w:rPr>
                <w:szCs w:val="21"/>
              </w:rPr>
            </w:pPr>
          </w:p>
        </w:tc>
        <w:tc>
          <w:tcPr>
            <w:tcW w:w="721" w:type="dxa"/>
            <w:tcBorders>
              <w:top w:val="single" w:color="auto" w:sz="4" w:space="0"/>
              <w:left w:val="single" w:color="auto" w:sz="4" w:space="0"/>
              <w:bottom w:val="single" w:color="auto" w:sz="4" w:space="0"/>
              <w:right w:val="single" w:color="auto" w:sz="4" w:space="0"/>
            </w:tcBorders>
          </w:tcPr>
          <w:p>
            <w:pPr>
              <w:spacing w:line="440" w:lineRule="exact"/>
              <w:jc w:val="center"/>
              <w:rPr>
                <w:szCs w:val="21"/>
              </w:rPr>
            </w:pPr>
          </w:p>
        </w:tc>
        <w:tc>
          <w:tcPr>
            <w:tcW w:w="719" w:type="dxa"/>
            <w:tcBorders>
              <w:top w:val="single" w:color="auto" w:sz="4" w:space="0"/>
              <w:left w:val="single" w:color="auto" w:sz="4" w:space="0"/>
              <w:bottom w:val="single" w:color="auto" w:sz="4" w:space="0"/>
              <w:right w:val="single" w:color="auto" w:sz="4" w:space="0"/>
            </w:tcBorders>
          </w:tcPr>
          <w:p>
            <w:pPr>
              <w:spacing w:line="440" w:lineRule="exact"/>
              <w:jc w:val="center"/>
              <w:rPr>
                <w:szCs w:val="21"/>
              </w:rPr>
            </w:pPr>
          </w:p>
        </w:tc>
        <w:tc>
          <w:tcPr>
            <w:tcW w:w="1081" w:type="dxa"/>
            <w:tcBorders>
              <w:top w:val="single" w:color="auto" w:sz="4" w:space="0"/>
              <w:left w:val="single" w:color="auto" w:sz="4" w:space="0"/>
              <w:bottom w:val="single" w:color="auto" w:sz="4" w:space="0"/>
              <w:right w:val="single" w:color="auto" w:sz="4" w:space="0"/>
            </w:tcBorders>
          </w:tcPr>
          <w:p>
            <w:pPr>
              <w:spacing w:line="440" w:lineRule="exact"/>
              <w:jc w:val="center"/>
              <w:rPr>
                <w:szCs w:val="21"/>
              </w:rPr>
            </w:pPr>
          </w:p>
        </w:tc>
        <w:tc>
          <w:tcPr>
            <w:tcW w:w="719" w:type="dxa"/>
            <w:tcBorders>
              <w:top w:val="single" w:color="auto" w:sz="4" w:space="0"/>
              <w:left w:val="single" w:color="auto" w:sz="4" w:space="0"/>
              <w:bottom w:val="single" w:color="auto" w:sz="4" w:space="0"/>
              <w:right w:val="single" w:color="auto" w:sz="4" w:space="0"/>
            </w:tcBorders>
          </w:tcPr>
          <w:p>
            <w:pPr>
              <w:spacing w:line="440" w:lineRule="exact"/>
              <w:jc w:val="center"/>
              <w:rPr>
                <w:szCs w:val="21"/>
              </w:rPr>
            </w:pPr>
          </w:p>
        </w:tc>
        <w:tc>
          <w:tcPr>
            <w:tcW w:w="721" w:type="dxa"/>
            <w:tcBorders>
              <w:top w:val="single" w:color="auto" w:sz="4" w:space="0"/>
              <w:left w:val="single" w:color="auto" w:sz="4" w:space="0"/>
              <w:bottom w:val="single" w:color="auto" w:sz="4" w:space="0"/>
              <w:right w:val="single" w:color="auto" w:sz="4" w:space="0"/>
            </w:tcBorders>
          </w:tcPr>
          <w:p>
            <w:pPr>
              <w:spacing w:line="440" w:lineRule="exact"/>
              <w:jc w:val="center"/>
              <w:rPr>
                <w:szCs w:val="21"/>
              </w:rPr>
            </w:pPr>
          </w:p>
        </w:tc>
        <w:tc>
          <w:tcPr>
            <w:tcW w:w="719" w:type="dxa"/>
            <w:tcBorders>
              <w:top w:val="single" w:color="auto" w:sz="4" w:space="0"/>
              <w:left w:val="single" w:color="auto" w:sz="4" w:space="0"/>
              <w:bottom w:val="single" w:color="auto" w:sz="4" w:space="0"/>
              <w:right w:val="single" w:color="auto" w:sz="4" w:space="0"/>
            </w:tcBorders>
          </w:tcPr>
          <w:p>
            <w:pPr>
              <w:spacing w:line="440" w:lineRule="exact"/>
              <w:jc w:val="center"/>
              <w:rPr>
                <w:szCs w:val="21"/>
              </w:rPr>
            </w:pPr>
          </w:p>
        </w:tc>
        <w:tc>
          <w:tcPr>
            <w:tcW w:w="2523" w:type="dxa"/>
            <w:tcBorders>
              <w:top w:val="single" w:color="auto" w:sz="4" w:space="0"/>
              <w:left w:val="single" w:color="auto" w:sz="4" w:space="0"/>
              <w:bottom w:val="single" w:color="auto" w:sz="4" w:space="0"/>
              <w:right w:val="single" w:color="auto" w:sz="4" w:space="0"/>
            </w:tcBorders>
          </w:tcPr>
          <w:p>
            <w:pPr>
              <w:spacing w:line="440" w:lineRule="exact"/>
              <w:jc w:val="center"/>
              <w:rPr>
                <w:szCs w:val="21"/>
              </w:rPr>
            </w:pPr>
          </w:p>
        </w:tc>
        <w:tc>
          <w:tcPr>
            <w:tcW w:w="672" w:type="dxa"/>
            <w:tcBorders>
              <w:top w:val="single" w:color="auto" w:sz="4" w:space="0"/>
              <w:left w:val="single" w:color="auto" w:sz="4" w:space="0"/>
              <w:bottom w:val="single" w:color="auto" w:sz="4" w:space="0"/>
              <w:right w:val="single" w:color="auto" w:sz="4" w:space="0"/>
            </w:tcBorders>
          </w:tcPr>
          <w:p>
            <w:pPr>
              <w:spacing w:line="440" w:lineRule="exact"/>
              <w:jc w:val="center"/>
              <w:rPr>
                <w:szCs w:val="21"/>
              </w:rPr>
            </w:pPr>
          </w:p>
        </w:tc>
      </w:tr>
    </w:tbl>
    <w:p>
      <w:pPr>
        <w:widowControl/>
        <w:jc w:val="left"/>
      </w:pPr>
    </w:p>
    <w:p>
      <w:pPr>
        <w:pStyle w:val="5"/>
        <w:jc w:val="left"/>
      </w:pPr>
    </w:p>
    <w:p>
      <w:pPr>
        <w:widowControl/>
        <w:jc w:val="left"/>
      </w:pPr>
      <w:r>
        <w:br w:type="page"/>
      </w:r>
    </w:p>
    <w:p>
      <w:pPr>
        <w:pStyle w:val="6"/>
        <w:spacing w:before="0" w:after="0"/>
        <w:jc w:val="center"/>
        <w:rPr>
          <w:sz w:val="28"/>
        </w:rPr>
      </w:pPr>
      <w:bookmarkStart w:id="105" w:name="_Toc43371508"/>
      <w:r>
        <w:rPr>
          <w:rFonts w:hint="eastAsia"/>
          <w:sz w:val="28"/>
        </w:rPr>
        <w:t>（二）主要人员简历表</w:t>
      </w:r>
      <w:bookmarkEnd w:id="105"/>
    </w:p>
    <w:p>
      <w:pPr>
        <w:ind w:firstLine="420" w:firstLineChars="200"/>
      </w:pPr>
      <w:r>
        <w:rPr>
          <w:rFonts w:hint="eastAsia"/>
        </w:rPr>
        <w:t>“主要人员简历表”中的项目经理应附注册建造师证、安全考核合格证、身份证、劳动合同复印件；技术负责人应附身份证、劳动合同复印件；其他主要人员应各专业人员搭配合理，满足本工程需要，并附身份证、劳动合同复印件。</w:t>
      </w:r>
    </w:p>
    <w:tbl>
      <w:tblPr>
        <w:tblStyle w:val="4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359"/>
        <w:gridCol w:w="720"/>
        <w:gridCol w:w="927"/>
        <w:gridCol w:w="1065"/>
        <w:gridCol w:w="708"/>
        <w:gridCol w:w="1261"/>
        <w:gridCol w:w="161"/>
        <w:gridCol w:w="21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pPr>
              <w:spacing w:line="440" w:lineRule="exact"/>
              <w:jc w:val="center"/>
              <w:rPr>
                <w:rFonts w:ascii="宋体" w:hAnsi="宋体"/>
                <w:szCs w:val="21"/>
              </w:rPr>
            </w:pPr>
            <w:r>
              <w:rPr>
                <w:rFonts w:ascii="宋体" w:hAnsi="宋体"/>
                <w:szCs w:val="21"/>
              </w:rPr>
              <w:t>姓  名</w:t>
            </w:r>
          </w:p>
        </w:tc>
        <w:tc>
          <w:tcPr>
            <w:tcW w:w="1079" w:type="dxa"/>
            <w:gridSpan w:val="2"/>
            <w:vAlign w:val="center"/>
          </w:tcPr>
          <w:p>
            <w:pPr>
              <w:spacing w:line="440" w:lineRule="exact"/>
              <w:jc w:val="center"/>
              <w:rPr>
                <w:rFonts w:ascii="宋体" w:hAnsi="宋体"/>
                <w:szCs w:val="21"/>
              </w:rPr>
            </w:pPr>
          </w:p>
        </w:tc>
        <w:tc>
          <w:tcPr>
            <w:tcW w:w="927" w:type="dxa"/>
            <w:vAlign w:val="center"/>
          </w:tcPr>
          <w:p>
            <w:pPr>
              <w:spacing w:line="440" w:lineRule="exact"/>
              <w:jc w:val="center"/>
              <w:rPr>
                <w:rFonts w:ascii="宋体" w:hAnsi="宋体"/>
                <w:szCs w:val="21"/>
              </w:rPr>
            </w:pPr>
            <w:r>
              <w:rPr>
                <w:rFonts w:ascii="宋体" w:hAnsi="宋体"/>
                <w:szCs w:val="21"/>
              </w:rPr>
              <w:t>年 龄</w:t>
            </w:r>
          </w:p>
        </w:tc>
        <w:tc>
          <w:tcPr>
            <w:tcW w:w="1065" w:type="dxa"/>
            <w:vAlign w:val="center"/>
          </w:tcPr>
          <w:p>
            <w:pPr>
              <w:spacing w:line="440" w:lineRule="exact"/>
              <w:jc w:val="center"/>
              <w:rPr>
                <w:rFonts w:ascii="宋体" w:hAnsi="宋体"/>
                <w:szCs w:val="21"/>
              </w:rPr>
            </w:pPr>
          </w:p>
        </w:tc>
        <w:tc>
          <w:tcPr>
            <w:tcW w:w="2130" w:type="dxa"/>
            <w:gridSpan w:val="3"/>
            <w:vAlign w:val="center"/>
          </w:tcPr>
          <w:p>
            <w:pPr>
              <w:spacing w:line="440" w:lineRule="exact"/>
              <w:jc w:val="center"/>
              <w:rPr>
                <w:rFonts w:ascii="宋体" w:hAnsi="宋体"/>
                <w:szCs w:val="21"/>
              </w:rPr>
            </w:pPr>
            <w:r>
              <w:rPr>
                <w:rFonts w:ascii="宋体" w:hAnsi="宋体"/>
                <w:szCs w:val="21"/>
              </w:rPr>
              <w:t>学历</w:t>
            </w:r>
          </w:p>
        </w:tc>
        <w:tc>
          <w:tcPr>
            <w:tcW w:w="2135" w:type="dxa"/>
            <w:vAlign w:val="center"/>
          </w:tcPr>
          <w:p>
            <w:pPr>
              <w:spacing w:line="440" w:lineRule="exac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pPr>
              <w:spacing w:line="440" w:lineRule="exact"/>
              <w:jc w:val="center"/>
              <w:rPr>
                <w:rFonts w:ascii="宋体" w:hAnsi="宋体"/>
                <w:szCs w:val="21"/>
              </w:rPr>
            </w:pPr>
            <w:r>
              <w:rPr>
                <w:rFonts w:ascii="宋体" w:hAnsi="宋体"/>
                <w:szCs w:val="21"/>
              </w:rPr>
              <w:t>职  称</w:t>
            </w:r>
          </w:p>
        </w:tc>
        <w:tc>
          <w:tcPr>
            <w:tcW w:w="1079" w:type="dxa"/>
            <w:gridSpan w:val="2"/>
            <w:vAlign w:val="center"/>
          </w:tcPr>
          <w:p>
            <w:pPr>
              <w:spacing w:line="440" w:lineRule="exact"/>
              <w:jc w:val="center"/>
              <w:rPr>
                <w:rFonts w:ascii="宋体" w:hAnsi="宋体"/>
                <w:szCs w:val="21"/>
              </w:rPr>
            </w:pPr>
          </w:p>
        </w:tc>
        <w:tc>
          <w:tcPr>
            <w:tcW w:w="927" w:type="dxa"/>
            <w:vAlign w:val="center"/>
          </w:tcPr>
          <w:p>
            <w:pPr>
              <w:spacing w:line="440" w:lineRule="exact"/>
              <w:jc w:val="center"/>
              <w:rPr>
                <w:rFonts w:ascii="宋体" w:hAnsi="宋体"/>
                <w:szCs w:val="21"/>
              </w:rPr>
            </w:pPr>
            <w:r>
              <w:rPr>
                <w:rFonts w:ascii="宋体" w:hAnsi="宋体"/>
                <w:szCs w:val="21"/>
              </w:rPr>
              <w:t>职 务</w:t>
            </w:r>
          </w:p>
        </w:tc>
        <w:tc>
          <w:tcPr>
            <w:tcW w:w="1065" w:type="dxa"/>
            <w:vAlign w:val="center"/>
          </w:tcPr>
          <w:p>
            <w:pPr>
              <w:spacing w:line="440" w:lineRule="exact"/>
              <w:jc w:val="center"/>
              <w:rPr>
                <w:rFonts w:ascii="宋体" w:hAnsi="宋体"/>
                <w:szCs w:val="21"/>
              </w:rPr>
            </w:pPr>
          </w:p>
        </w:tc>
        <w:tc>
          <w:tcPr>
            <w:tcW w:w="2130" w:type="dxa"/>
            <w:gridSpan w:val="3"/>
            <w:vAlign w:val="center"/>
          </w:tcPr>
          <w:p>
            <w:pPr>
              <w:spacing w:line="440" w:lineRule="exact"/>
              <w:jc w:val="center"/>
              <w:rPr>
                <w:rFonts w:ascii="宋体" w:hAnsi="宋体"/>
                <w:szCs w:val="21"/>
              </w:rPr>
            </w:pPr>
            <w:r>
              <w:rPr>
                <w:rFonts w:ascii="宋体" w:hAnsi="宋体"/>
                <w:szCs w:val="21"/>
              </w:rPr>
              <w:t>拟在本合同任职</w:t>
            </w:r>
          </w:p>
        </w:tc>
        <w:tc>
          <w:tcPr>
            <w:tcW w:w="2135" w:type="dxa"/>
            <w:vAlign w:val="center"/>
          </w:tcPr>
          <w:p>
            <w:pPr>
              <w:spacing w:line="440" w:lineRule="exac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pPr>
              <w:spacing w:line="440" w:lineRule="exact"/>
              <w:rPr>
                <w:rFonts w:ascii="宋体" w:hAnsi="宋体"/>
                <w:szCs w:val="21"/>
              </w:rPr>
            </w:pPr>
            <w:r>
              <w:rPr>
                <w:rFonts w:ascii="宋体" w:hAnsi="宋体"/>
                <w:szCs w:val="21"/>
              </w:rPr>
              <w:t>毕业学校</w:t>
            </w:r>
          </w:p>
        </w:tc>
        <w:tc>
          <w:tcPr>
            <w:tcW w:w="7336" w:type="dxa"/>
            <w:gridSpan w:val="8"/>
          </w:tcPr>
          <w:p>
            <w:pPr>
              <w:spacing w:line="440" w:lineRule="exact"/>
              <w:rPr>
                <w:rFonts w:ascii="宋体" w:hAnsi="宋体"/>
                <w:szCs w:val="21"/>
              </w:rPr>
            </w:pPr>
            <w:r>
              <w:rPr>
                <w:rFonts w:ascii="宋体" w:hAnsi="宋体"/>
                <w:szCs w:val="21"/>
              </w:rPr>
              <w:t xml:space="preserve">      年毕业于            学校        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gridSpan w:val="9"/>
            <w:vAlign w:val="center"/>
          </w:tcPr>
          <w:p>
            <w:pPr>
              <w:spacing w:line="440" w:lineRule="exact"/>
              <w:rPr>
                <w:rFonts w:ascii="宋体" w:hAnsi="宋体"/>
                <w:szCs w:val="21"/>
              </w:rPr>
            </w:pPr>
            <w:r>
              <w:rPr>
                <w:rFonts w:ascii="宋体" w:hAnsi="宋体"/>
                <w:szCs w:val="21"/>
              </w:rPr>
              <w:t>主要工作经历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545" w:type="dxa"/>
            <w:gridSpan w:val="2"/>
            <w:vAlign w:val="center"/>
          </w:tcPr>
          <w:p>
            <w:pPr>
              <w:spacing w:line="440" w:lineRule="exact"/>
              <w:rPr>
                <w:rFonts w:ascii="宋体" w:hAnsi="宋体"/>
                <w:szCs w:val="21"/>
              </w:rPr>
            </w:pPr>
            <w:r>
              <w:rPr>
                <w:rFonts w:ascii="宋体" w:hAnsi="宋体"/>
                <w:szCs w:val="21"/>
              </w:rPr>
              <w:t>时  间</w:t>
            </w:r>
          </w:p>
        </w:tc>
        <w:tc>
          <w:tcPr>
            <w:tcW w:w="3420" w:type="dxa"/>
            <w:gridSpan w:val="4"/>
            <w:vAlign w:val="center"/>
          </w:tcPr>
          <w:p>
            <w:pPr>
              <w:spacing w:line="440" w:lineRule="exact"/>
              <w:rPr>
                <w:rFonts w:ascii="宋体" w:hAnsi="宋体"/>
                <w:szCs w:val="21"/>
              </w:rPr>
            </w:pPr>
            <w:r>
              <w:rPr>
                <w:rFonts w:ascii="宋体" w:hAnsi="宋体"/>
                <w:szCs w:val="21"/>
              </w:rPr>
              <w:t>参加过的类似项目</w:t>
            </w:r>
          </w:p>
        </w:tc>
        <w:tc>
          <w:tcPr>
            <w:tcW w:w="1261" w:type="dxa"/>
            <w:vAlign w:val="center"/>
          </w:tcPr>
          <w:p>
            <w:pPr>
              <w:spacing w:line="440" w:lineRule="exact"/>
              <w:rPr>
                <w:rFonts w:ascii="宋体" w:hAnsi="宋体"/>
                <w:szCs w:val="21"/>
              </w:rPr>
            </w:pPr>
            <w:r>
              <w:rPr>
                <w:rFonts w:ascii="宋体" w:hAnsi="宋体"/>
                <w:szCs w:val="21"/>
              </w:rPr>
              <w:t>担任职务</w:t>
            </w:r>
          </w:p>
        </w:tc>
        <w:tc>
          <w:tcPr>
            <w:tcW w:w="2296" w:type="dxa"/>
            <w:gridSpan w:val="2"/>
            <w:vAlign w:val="center"/>
          </w:tcPr>
          <w:p>
            <w:pPr>
              <w:spacing w:line="440" w:lineRule="exact"/>
              <w:rPr>
                <w:rFonts w:ascii="宋体" w:hAnsi="宋体"/>
                <w:szCs w:val="21"/>
              </w:rPr>
            </w:pPr>
            <w:r>
              <w:rPr>
                <w:rFonts w:ascii="宋体" w:hAnsi="宋体"/>
                <w:szCs w:val="21"/>
              </w:rPr>
              <w:t>发包人及联系电话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545" w:type="dxa"/>
            <w:gridSpan w:val="2"/>
          </w:tcPr>
          <w:p>
            <w:pPr>
              <w:spacing w:line="440" w:lineRule="exact"/>
              <w:rPr>
                <w:rFonts w:eastAsia="黑体"/>
                <w:szCs w:val="21"/>
              </w:rPr>
            </w:pPr>
          </w:p>
        </w:tc>
        <w:tc>
          <w:tcPr>
            <w:tcW w:w="3420" w:type="dxa"/>
            <w:gridSpan w:val="4"/>
          </w:tcPr>
          <w:p>
            <w:pPr>
              <w:spacing w:line="440" w:lineRule="exact"/>
              <w:rPr>
                <w:rFonts w:eastAsia="黑体"/>
                <w:szCs w:val="21"/>
              </w:rPr>
            </w:pPr>
          </w:p>
        </w:tc>
        <w:tc>
          <w:tcPr>
            <w:tcW w:w="1261" w:type="dxa"/>
          </w:tcPr>
          <w:p>
            <w:pPr>
              <w:spacing w:line="440" w:lineRule="exact"/>
              <w:rPr>
                <w:rFonts w:eastAsia="黑体"/>
                <w:szCs w:val="21"/>
              </w:rPr>
            </w:pPr>
          </w:p>
        </w:tc>
        <w:tc>
          <w:tcPr>
            <w:tcW w:w="2296" w:type="dxa"/>
            <w:gridSpan w:val="2"/>
          </w:tcPr>
          <w:p>
            <w:pPr>
              <w:spacing w:line="440" w:lineRule="exact"/>
              <w:rPr>
                <w:rFonts w:eastAsia="黑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545" w:type="dxa"/>
            <w:gridSpan w:val="2"/>
          </w:tcPr>
          <w:p>
            <w:pPr>
              <w:spacing w:line="440" w:lineRule="exact"/>
              <w:rPr>
                <w:rFonts w:eastAsia="黑体"/>
                <w:szCs w:val="21"/>
              </w:rPr>
            </w:pPr>
          </w:p>
        </w:tc>
        <w:tc>
          <w:tcPr>
            <w:tcW w:w="3420" w:type="dxa"/>
            <w:gridSpan w:val="4"/>
          </w:tcPr>
          <w:p>
            <w:pPr>
              <w:spacing w:line="440" w:lineRule="exact"/>
              <w:rPr>
                <w:rFonts w:eastAsia="黑体"/>
                <w:szCs w:val="21"/>
              </w:rPr>
            </w:pPr>
          </w:p>
        </w:tc>
        <w:tc>
          <w:tcPr>
            <w:tcW w:w="1261" w:type="dxa"/>
          </w:tcPr>
          <w:p>
            <w:pPr>
              <w:spacing w:line="440" w:lineRule="exact"/>
              <w:rPr>
                <w:rFonts w:eastAsia="黑体"/>
                <w:szCs w:val="21"/>
              </w:rPr>
            </w:pPr>
          </w:p>
        </w:tc>
        <w:tc>
          <w:tcPr>
            <w:tcW w:w="2296" w:type="dxa"/>
            <w:gridSpan w:val="2"/>
          </w:tcPr>
          <w:p>
            <w:pPr>
              <w:spacing w:line="440" w:lineRule="exact"/>
              <w:rPr>
                <w:rFonts w:eastAsia="黑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545" w:type="dxa"/>
            <w:gridSpan w:val="2"/>
          </w:tcPr>
          <w:p>
            <w:pPr>
              <w:spacing w:line="440" w:lineRule="exact"/>
              <w:rPr>
                <w:rFonts w:eastAsia="黑体"/>
                <w:szCs w:val="21"/>
              </w:rPr>
            </w:pPr>
          </w:p>
        </w:tc>
        <w:tc>
          <w:tcPr>
            <w:tcW w:w="3420" w:type="dxa"/>
            <w:gridSpan w:val="4"/>
          </w:tcPr>
          <w:p>
            <w:pPr>
              <w:spacing w:line="440" w:lineRule="exact"/>
              <w:rPr>
                <w:rFonts w:eastAsia="黑体"/>
                <w:szCs w:val="21"/>
              </w:rPr>
            </w:pPr>
          </w:p>
        </w:tc>
        <w:tc>
          <w:tcPr>
            <w:tcW w:w="1261" w:type="dxa"/>
          </w:tcPr>
          <w:p>
            <w:pPr>
              <w:spacing w:line="440" w:lineRule="exact"/>
              <w:rPr>
                <w:rFonts w:eastAsia="黑体"/>
                <w:szCs w:val="21"/>
              </w:rPr>
            </w:pPr>
          </w:p>
        </w:tc>
        <w:tc>
          <w:tcPr>
            <w:tcW w:w="2296" w:type="dxa"/>
            <w:gridSpan w:val="2"/>
          </w:tcPr>
          <w:p>
            <w:pPr>
              <w:spacing w:line="440" w:lineRule="exact"/>
              <w:rPr>
                <w:rFonts w:eastAsia="黑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545" w:type="dxa"/>
            <w:gridSpan w:val="2"/>
          </w:tcPr>
          <w:p>
            <w:pPr>
              <w:spacing w:line="440" w:lineRule="exact"/>
              <w:rPr>
                <w:rFonts w:eastAsia="黑体"/>
                <w:szCs w:val="21"/>
              </w:rPr>
            </w:pPr>
          </w:p>
        </w:tc>
        <w:tc>
          <w:tcPr>
            <w:tcW w:w="3420" w:type="dxa"/>
            <w:gridSpan w:val="4"/>
          </w:tcPr>
          <w:p>
            <w:pPr>
              <w:spacing w:line="440" w:lineRule="exact"/>
              <w:rPr>
                <w:rFonts w:eastAsia="黑体"/>
                <w:szCs w:val="21"/>
              </w:rPr>
            </w:pPr>
          </w:p>
        </w:tc>
        <w:tc>
          <w:tcPr>
            <w:tcW w:w="1261" w:type="dxa"/>
          </w:tcPr>
          <w:p>
            <w:pPr>
              <w:spacing w:line="440" w:lineRule="exact"/>
              <w:rPr>
                <w:rFonts w:eastAsia="黑体"/>
                <w:szCs w:val="21"/>
              </w:rPr>
            </w:pPr>
          </w:p>
        </w:tc>
        <w:tc>
          <w:tcPr>
            <w:tcW w:w="2296" w:type="dxa"/>
            <w:gridSpan w:val="2"/>
          </w:tcPr>
          <w:p>
            <w:pPr>
              <w:spacing w:line="440" w:lineRule="exact"/>
              <w:rPr>
                <w:rFonts w:eastAsia="黑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545" w:type="dxa"/>
            <w:gridSpan w:val="2"/>
          </w:tcPr>
          <w:p>
            <w:pPr>
              <w:spacing w:line="440" w:lineRule="exact"/>
              <w:rPr>
                <w:rFonts w:eastAsia="黑体"/>
                <w:szCs w:val="21"/>
              </w:rPr>
            </w:pPr>
          </w:p>
        </w:tc>
        <w:tc>
          <w:tcPr>
            <w:tcW w:w="3420" w:type="dxa"/>
            <w:gridSpan w:val="4"/>
          </w:tcPr>
          <w:p>
            <w:pPr>
              <w:spacing w:line="440" w:lineRule="exact"/>
              <w:rPr>
                <w:rFonts w:eastAsia="黑体"/>
                <w:szCs w:val="21"/>
              </w:rPr>
            </w:pPr>
          </w:p>
        </w:tc>
        <w:tc>
          <w:tcPr>
            <w:tcW w:w="1261" w:type="dxa"/>
          </w:tcPr>
          <w:p>
            <w:pPr>
              <w:spacing w:line="440" w:lineRule="exact"/>
              <w:rPr>
                <w:rFonts w:eastAsia="黑体"/>
                <w:szCs w:val="21"/>
              </w:rPr>
            </w:pPr>
          </w:p>
        </w:tc>
        <w:tc>
          <w:tcPr>
            <w:tcW w:w="2296" w:type="dxa"/>
            <w:gridSpan w:val="2"/>
          </w:tcPr>
          <w:p>
            <w:pPr>
              <w:spacing w:line="440" w:lineRule="exact"/>
              <w:rPr>
                <w:rFonts w:eastAsia="黑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545" w:type="dxa"/>
            <w:gridSpan w:val="2"/>
          </w:tcPr>
          <w:p>
            <w:pPr>
              <w:spacing w:line="440" w:lineRule="exact"/>
              <w:rPr>
                <w:rFonts w:eastAsia="黑体"/>
                <w:szCs w:val="21"/>
              </w:rPr>
            </w:pPr>
          </w:p>
        </w:tc>
        <w:tc>
          <w:tcPr>
            <w:tcW w:w="3420" w:type="dxa"/>
            <w:gridSpan w:val="4"/>
          </w:tcPr>
          <w:p>
            <w:pPr>
              <w:spacing w:line="440" w:lineRule="exact"/>
              <w:rPr>
                <w:rFonts w:eastAsia="黑体"/>
                <w:szCs w:val="21"/>
              </w:rPr>
            </w:pPr>
          </w:p>
        </w:tc>
        <w:tc>
          <w:tcPr>
            <w:tcW w:w="1261" w:type="dxa"/>
          </w:tcPr>
          <w:p>
            <w:pPr>
              <w:spacing w:line="440" w:lineRule="exact"/>
              <w:rPr>
                <w:rFonts w:eastAsia="黑体"/>
                <w:szCs w:val="21"/>
              </w:rPr>
            </w:pPr>
          </w:p>
        </w:tc>
        <w:tc>
          <w:tcPr>
            <w:tcW w:w="2296" w:type="dxa"/>
            <w:gridSpan w:val="2"/>
          </w:tcPr>
          <w:p>
            <w:pPr>
              <w:spacing w:line="440" w:lineRule="exact"/>
              <w:rPr>
                <w:rFonts w:eastAsia="黑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545" w:type="dxa"/>
            <w:gridSpan w:val="2"/>
          </w:tcPr>
          <w:p>
            <w:pPr>
              <w:spacing w:line="440" w:lineRule="exact"/>
              <w:rPr>
                <w:rFonts w:eastAsia="黑体"/>
                <w:szCs w:val="21"/>
              </w:rPr>
            </w:pPr>
          </w:p>
        </w:tc>
        <w:tc>
          <w:tcPr>
            <w:tcW w:w="3420" w:type="dxa"/>
            <w:gridSpan w:val="4"/>
          </w:tcPr>
          <w:p>
            <w:pPr>
              <w:spacing w:line="440" w:lineRule="exact"/>
              <w:rPr>
                <w:rFonts w:eastAsia="黑体"/>
                <w:szCs w:val="21"/>
              </w:rPr>
            </w:pPr>
          </w:p>
        </w:tc>
        <w:tc>
          <w:tcPr>
            <w:tcW w:w="1261" w:type="dxa"/>
          </w:tcPr>
          <w:p>
            <w:pPr>
              <w:spacing w:line="440" w:lineRule="exact"/>
              <w:rPr>
                <w:rFonts w:eastAsia="黑体"/>
                <w:szCs w:val="21"/>
              </w:rPr>
            </w:pPr>
          </w:p>
        </w:tc>
        <w:tc>
          <w:tcPr>
            <w:tcW w:w="2296" w:type="dxa"/>
            <w:gridSpan w:val="2"/>
          </w:tcPr>
          <w:p>
            <w:pPr>
              <w:spacing w:line="440" w:lineRule="exact"/>
              <w:rPr>
                <w:rFonts w:eastAsia="黑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545" w:type="dxa"/>
            <w:gridSpan w:val="2"/>
          </w:tcPr>
          <w:p>
            <w:pPr>
              <w:spacing w:line="440" w:lineRule="exact"/>
              <w:rPr>
                <w:rFonts w:eastAsia="黑体"/>
                <w:szCs w:val="21"/>
              </w:rPr>
            </w:pPr>
          </w:p>
        </w:tc>
        <w:tc>
          <w:tcPr>
            <w:tcW w:w="3420" w:type="dxa"/>
            <w:gridSpan w:val="4"/>
          </w:tcPr>
          <w:p>
            <w:pPr>
              <w:spacing w:line="440" w:lineRule="exact"/>
              <w:rPr>
                <w:rFonts w:eastAsia="黑体"/>
                <w:szCs w:val="21"/>
              </w:rPr>
            </w:pPr>
          </w:p>
        </w:tc>
        <w:tc>
          <w:tcPr>
            <w:tcW w:w="1261" w:type="dxa"/>
          </w:tcPr>
          <w:p>
            <w:pPr>
              <w:spacing w:line="440" w:lineRule="exact"/>
              <w:rPr>
                <w:rFonts w:eastAsia="黑体"/>
                <w:szCs w:val="21"/>
              </w:rPr>
            </w:pPr>
          </w:p>
        </w:tc>
        <w:tc>
          <w:tcPr>
            <w:tcW w:w="2296" w:type="dxa"/>
            <w:gridSpan w:val="2"/>
          </w:tcPr>
          <w:p>
            <w:pPr>
              <w:spacing w:line="440" w:lineRule="exact"/>
              <w:rPr>
                <w:rFonts w:eastAsia="黑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545" w:type="dxa"/>
            <w:gridSpan w:val="2"/>
          </w:tcPr>
          <w:p>
            <w:pPr>
              <w:spacing w:line="440" w:lineRule="exact"/>
              <w:rPr>
                <w:rFonts w:eastAsia="黑体"/>
                <w:szCs w:val="21"/>
              </w:rPr>
            </w:pPr>
          </w:p>
        </w:tc>
        <w:tc>
          <w:tcPr>
            <w:tcW w:w="3420" w:type="dxa"/>
            <w:gridSpan w:val="4"/>
          </w:tcPr>
          <w:p>
            <w:pPr>
              <w:spacing w:line="440" w:lineRule="exact"/>
              <w:rPr>
                <w:rFonts w:eastAsia="黑体"/>
                <w:szCs w:val="21"/>
              </w:rPr>
            </w:pPr>
          </w:p>
        </w:tc>
        <w:tc>
          <w:tcPr>
            <w:tcW w:w="1261" w:type="dxa"/>
          </w:tcPr>
          <w:p>
            <w:pPr>
              <w:spacing w:line="440" w:lineRule="exact"/>
              <w:rPr>
                <w:rFonts w:eastAsia="黑体"/>
                <w:szCs w:val="21"/>
              </w:rPr>
            </w:pPr>
          </w:p>
        </w:tc>
        <w:tc>
          <w:tcPr>
            <w:tcW w:w="2296" w:type="dxa"/>
            <w:gridSpan w:val="2"/>
          </w:tcPr>
          <w:p>
            <w:pPr>
              <w:spacing w:line="440" w:lineRule="exact"/>
              <w:rPr>
                <w:rFonts w:eastAsia="黑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545" w:type="dxa"/>
            <w:gridSpan w:val="2"/>
          </w:tcPr>
          <w:p>
            <w:pPr>
              <w:spacing w:line="440" w:lineRule="exact"/>
              <w:rPr>
                <w:rFonts w:eastAsia="黑体"/>
                <w:szCs w:val="21"/>
              </w:rPr>
            </w:pPr>
          </w:p>
        </w:tc>
        <w:tc>
          <w:tcPr>
            <w:tcW w:w="3420" w:type="dxa"/>
            <w:gridSpan w:val="4"/>
          </w:tcPr>
          <w:p>
            <w:pPr>
              <w:spacing w:line="440" w:lineRule="exact"/>
              <w:rPr>
                <w:rFonts w:eastAsia="黑体"/>
                <w:szCs w:val="21"/>
              </w:rPr>
            </w:pPr>
          </w:p>
        </w:tc>
        <w:tc>
          <w:tcPr>
            <w:tcW w:w="1261" w:type="dxa"/>
          </w:tcPr>
          <w:p>
            <w:pPr>
              <w:spacing w:line="440" w:lineRule="exact"/>
              <w:rPr>
                <w:rFonts w:eastAsia="黑体"/>
                <w:szCs w:val="21"/>
              </w:rPr>
            </w:pPr>
          </w:p>
        </w:tc>
        <w:tc>
          <w:tcPr>
            <w:tcW w:w="2296" w:type="dxa"/>
            <w:gridSpan w:val="2"/>
          </w:tcPr>
          <w:p>
            <w:pPr>
              <w:spacing w:line="440" w:lineRule="exact"/>
              <w:rPr>
                <w:rFonts w:eastAsia="黑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545" w:type="dxa"/>
            <w:gridSpan w:val="2"/>
          </w:tcPr>
          <w:p>
            <w:pPr>
              <w:spacing w:line="440" w:lineRule="exact"/>
              <w:rPr>
                <w:rFonts w:eastAsia="黑体"/>
                <w:szCs w:val="21"/>
              </w:rPr>
            </w:pPr>
          </w:p>
        </w:tc>
        <w:tc>
          <w:tcPr>
            <w:tcW w:w="3420" w:type="dxa"/>
            <w:gridSpan w:val="4"/>
          </w:tcPr>
          <w:p>
            <w:pPr>
              <w:spacing w:line="440" w:lineRule="exact"/>
              <w:rPr>
                <w:rFonts w:eastAsia="黑体"/>
                <w:szCs w:val="21"/>
              </w:rPr>
            </w:pPr>
          </w:p>
        </w:tc>
        <w:tc>
          <w:tcPr>
            <w:tcW w:w="1261" w:type="dxa"/>
          </w:tcPr>
          <w:p>
            <w:pPr>
              <w:spacing w:line="440" w:lineRule="exact"/>
              <w:rPr>
                <w:rFonts w:eastAsia="黑体"/>
                <w:szCs w:val="21"/>
              </w:rPr>
            </w:pPr>
          </w:p>
        </w:tc>
        <w:tc>
          <w:tcPr>
            <w:tcW w:w="2296" w:type="dxa"/>
            <w:gridSpan w:val="2"/>
          </w:tcPr>
          <w:p>
            <w:pPr>
              <w:spacing w:line="440" w:lineRule="exact"/>
              <w:rPr>
                <w:rFonts w:eastAsia="黑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545" w:type="dxa"/>
            <w:gridSpan w:val="2"/>
          </w:tcPr>
          <w:p>
            <w:pPr>
              <w:spacing w:line="440" w:lineRule="exact"/>
              <w:rPr>
                <w:rFonts w:eastAsia="黑体"/>
                <w:szCs w:val="21"/>
              </w:rPr>
            </w:pPr>
          </w:p>
        </w:tc>
        <w:tc>
          <w:tcPr>
            <w:tcW w:w="3420" w:type="dxa"/>
            <w:gridSpan w:val="4"/>
          </w:tcPr>
          <w:p>
            <w:pPr>
              <w:spacing w:line="440" w:lineRule="exact"/>
              <w:rPr>
                <w:rFonts w:eastAsia="黑体"/>
                <w:szCs w:val="21"/>
              </w:rPr>
            </w:pPr>
          </w:p>
        </w:tc>
        <w:tc>
          <w:tcPr>
            <w:tcW w:w="1261" w:type="dxa"/>
          </w:tcPr>
          <w:p>
            <w:pPr>
              <w:spacing w:line="440" w:lineRule="exact"/>
              <w:rPr>
                <w:rFonts w:eastAsia="黑体"/>
                <w:szCs w:val="21"/>
              </w:rPr>
            </w:pPr>
          </w:p>
        </w:tc>
        <w:tc>
          <w:tcPr>
            <w:tcW w:w="2296" w:type="dxa"/>
            <w:gridSpan w:val="2"/>
          </w:tcPr>
          <w:p>
            <w:pPr>
              <w:spacing w:line="440" w:lineRule="exact"/>
              <w:rPr>
                <w:rFonts w:eastAsia="黑体"/>
                <w:szCs w:val="21"/>
              </w:rPr>
            </w:pPr>
          </w:p>
        </w:tc>
      </w:tr>
    </w:tbl>
    <w:p/>
    <w:p>
      <w:pPr>
        <w:widowControl/>
        <w:jc w:val="left"/>
      </w:pPr>
      <w:r>
        <w:br w:type="page"/>
      </w:r>
    </w:p>
    <w:p>
      <w:pPr>
        <w:pStyle w:val="4"/>
        <w:rPr>
          <w:sz w:val="28"/>
        </w:rPr>
      </w:pPr>
      <w:bookmarkStart w:id="106" w:name="_Toc43371509"/>
      <w:r>
        <w:rPr>
          <w:rFonts w:hint="eastAsia"/>
          <w:sz w:val="28"/>
        </w:rPr>
        <w:t>八、资格审查资料</w:t>
      </w:r>
      <w:bookmarkEnd w:id="106"/>
    </w:p>
    <w:p>
      <w:pPr>
        <w:pStyle w:val="6"/>
        <w:spacing w:before="0" w:after="0"/>
        <w:jc w:val="center"/>
        <w:rPr>
          <w:sz w:val="28"/>
        </w:rPr>
      </w:pPr>
      <w:bookmarkStart w:id="107" w:name="_Toc43371510"/>
      <w:r>
        <w:rPr>
          <w:rFonts w:hint="eastAsia"/>
          <w:sz w:val="28"/>
        </w:rPr>
        <w:t>（一）</w:t>
      </w:r>
      <w:r>
        <w:rPr>
          <w:rFonts w:hint="eastAsia"/>
          <w:sz w:val="28"/>
          <w:lang w:eastAsia="zh-CN"/>
        </w:rPr>
        <w:t>响应人</w:t>
      </w:r>
      <w:r>
        <w:rPr>
          <w:rFonts w:hint="eastAsia"/>
          <w:sz w:val="28"/>
        </w:rPr>
        <w:t>基本情况表</w:t>
      </w:r>
      <w:bookmarkEnd w:id="107"/>
    </w:p>
    <w:tbl>
      <w:tblPr>
        <w:tblStyle w:val="45"/>
        <w:tblW w:w="8568"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728"/>
        <w:gridCol w:w="898"/>
        <w:gridCol w:w="951"/>
        <w:gridCol w:w="840"/>
        <w:gridCol w:w="420"/>
        <w:gridCol w:w="311"/>
        <w:gridCol w:w="1078"/>
        <w:gridCol w:w="490"/>
        <w:gridCol w:w="860"/>
        <w:gridCol w:w="992"/>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1728"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szCs w:val="21"/>
              </w:rPr>
            </w:pPr>
            <w:r>
              <w:rPr>
                <w:rFonts w:hint="eastAsia"/>
                <w:szCs w:val="21"/>
                <w:lang w:eastAsia="zh-CN"/>
              </w:rPr>
              <w:t>响应人</w:t>
            </w:r>
            <w:r>
              <w:rPr>
                <w:szCs w:val="21"/>
              </w:rPr>
              <w:t>名称</w:t>
            </w:r>
          </w:p>
        </w:tc>
        <w:tc>
          <w:tcPr>
            <w:tcW w:w="6840" w:type="dxa"/>
            <w:gridSpan w:val="9"/>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1" w:hRule="atLeast"/>
        </w:trPr>
        <w:tc>
          <w:tcPr>
            <w:tcW w:w="1728"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szCs w:val="21"/>
              </w:rPr>
            </w:pPr>
            <w:r>
              <w:rPr>
                <w:szCs w:val="21"/>
              </w:rPr>
              <w:t>注册地址</w:t>
            </w:r>
          </w:p>
        </w:tc>
        <w:tc>
          <w:tcPr>
            <w:tcW w:w="3420" w:type="dxa"/>
            <w:gridSpan w:val="5"/>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szCs w:val="21"/>
              </w:rPr>
            </w:pPr>
          </w:p>
        </w:tc>
        <w:tc>
          <w:tcPr>
            <w:tcW w:w="1078"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szCs w:val="21"/>
              </w:rPr>
            </w:pPr>
            <w:r>
              <w:rPr>
                <w:szCs w:val="21"/>
              </w:rPr>
              <w:t>邮政编码</w:t>
            </w:r>
          </w:p>
        </w:tc>
        <w:tc>
          <w:tcPr>
            <w:tcW w:w="2342" w:type="dxa"/>
            <w:gridSpan w:val="3"/>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05" w:hRule="atLeast"/>
        </w:trPr>
        <w:tc>
          <w:tcPr>
            <w:tcW w:w="1728" w:type="dxa"/>
            <w:vMerge w:val="restart"/>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szCs w:val="21"/>
              </w:rPr>
            </w:pPr>
            <w:r>
              <w:rPr>
                <w:szCs w:val="21"/>
              </w:rPr>
              <w:t>联系方式</w:t>
            </w:r>
          </w:p>
        </w:tc>
        <w:tc>
          <w:tcPr>
            <w:tcW w:w="898"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szCs w:val="21"/>
              </w:rPr>
            </w:pPr>
            <w:r>
              <w:rPr>
                <w:szCs w:val="21"/>
              </w:rPr>
              <w:t>联系人</w:t>
            </w:r>
          </w:p>
        </w:tc>
        <w:tc>
          <w:tcPr>
            <w:tcW w:w="2522" w:type="dxa"/>
            <w:gridSpan w:val="4"/>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szCs w:val="21"/>
              </w:rPr>
            </w:pPr>
          </w:p>
        </w:tc>
        <w:tc>
          <w:tcPr>
            <w:tcW w:w="1078"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szCs w:val="21"/>
              </w:rPr>
            </w:pPr>
            <w:r>
              <w:rPr>
                <w:szCs w:val="21"/>
              </w:rPr>
              <w:t>电话</w:t>
            </w:r>
          </w:p>
        </w:tc>
        <w:tc>
          <w:tcPr>
            <w:tcW w:w="2342" w:type="dxa"/>
            <w:gridSpan w:val="3"/>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13" w:hRule="atLeast"/>
        </w:trPr>
        <w:tc>
          <w:tcPr>
            <w:tcW w:w="1728" w:type="dxa"/>
            <w:vMerge w:val="continue"/>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szCs w:val="21"/>
              </w:rPr>
            </w:pPr>
          </w:p>
        </w:tc>
        <w:tc>
          <w:tcPr>
            <w:tcW w:w="898"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szCs w:val="21"/>
              </w:rPr>
            </w:pPr>
            <w:r>
              <w:rPr>
                <w:szCs w:val="21"/>
              </w:rPr>
              <w:t>传真</w:t>
            </w:r>
          </w:p>
        </w:tc>
        <w:tc>
          <w:tcPr>
            <w:tcW w:w="2522" w:type="dxa"/>
            <w:gridSpan w:val="4"/>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szCs w:val="21"/>
              </w:rPr>
            </w:pPr>
          </w:p>
        </w:tc>
        <w:tc>
          <w:tcPr>
            <w:tcW w:w="1078"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szCs w:val="21"/>
              </w:rPr>
            </w:pPr>
            <w:r>
              <w:rPr>
                <w:szCs w:val="21"/>
              </w:rPr>
              <w:t>网址</w:t>
            </w:r>
          </w:p>
        </w:tc>
        <w:tc>
          <w:tcPr>
            <w:tcW w:w="2342" w:type="dxa"/>
            <w:gridSpan w:val="3"/>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4" w:hRule="atLeast"/>
        </w:trPr>
        <w:tc>
          <w:tcPr>
            <w:tcW w:w="1728"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szCs w:val="21"/>
              </w:rPr>
            </w:pPr>
            <w:r>
              <w:rPr>
                <w:szCs w:val="21"/>
              </w:rPr>
              <w:t>组织结构</w:t>
            </w:r>
          </w:p>
        </w:tc>
        <w:tc>
          <w:tcPr>
            <w:tcW w:w="6840" w:type="dxa"/>
            <w:gridSpan w:val="9"/>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8" w:hRule="atLeast"/>
        </w:trPr>
        <w:tc>
          <w:tcPr>
            <w:tcW w:w="1728"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szCs w:val="21"/>
              </w:rPr>
            </w:pPr>
            <w:r>
              <w:rPr>
                <w:szCs w:val="21"/>
              </w:rPr>
              <w:t>法定代表人</w:t>
            </w:r>
          </w:p>
        </w:tc>
        <w:tc>
          <w:tcPr>
            <w:tcW w:w="898"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szCs w:val="21"/>
              </w:rPr>
            </w:pPr>
            <w:r>
              <w:rPr>
                <w:szCs w:val="21"/>
              </w:rPr>
              <w:t>姓名</w:t>
            </w:r>
          </w:p>
        </w:tc>
        <w:tc>
          <w:tcPr>
            <w:tcW w:w="951"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szCs w:val="21"/>
              </w:rPr>
            </w:pPr>
          </w:p>
        </w:tc>
        <w:tc>
          <w:tcPr>
            <w:tcW w:w="1260" w:type="dxa"/>
            <w:gridSpan w:val="2"/>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szCs w:val="21"/>
              </w:rPr>
            </w:pPr>
            <w:r>
              <w:rPr>
                <w:szCs w:val="21"/>
              </w:rPr>
              <w:t>技术职称</w:t>
            </w:r>
          </w:p>
        </w:tc>
        <w:tc>
          <w:tcPr>
            <w:tcW w:w="1879" w:type="dxa"/>
            <w:gridSpan w:val="3"/>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szCs w:val="21"/>
              </w:rPr>
            </w:pPr>
          </w:p>
        </w:tc>
        <w:tc>
          <w:tcPr>
            <w:tcW w:w="860"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szCs w:val="21"/>
              </w:rPr>
            </w:pPr>
            <w:r>
              <w:rPr>
                <w:szCs w:val="21"/>
              </w:rPr>
              <w:t>电话</w:t>
            </w:r>
          </w:p>
        </w:tc>
        <w:tc>
          <w:tcPr>
            <w:tcW w:w="992"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2" w:hRule="atLeast"/>
        </w:trPr>
        <w:tc>
          <w:tcPr>
            <w:tcW w:w="1728"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szCs w:val="21"/>
              </w:rPr>
            </w:pPr>
            <w:r>
              <w:rPr>
                <w:szCs w:val="21"/>
              </w:rPr>
              <w:t>技术负责人</w:t>
            </w:r>
          </w:p>
        </w:tc>
        <w:tc>
          <w:tcPr>
            <w:tcW w:w="898"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szCs w:val="21"/>
              </w:rPr>
            </w:pPr>
            <w:r>
              <w:rPr>
                <w:szCs w:val="21"/>
              </w:rPr>
              <w:t>姓名</w:t>
            </w:r>
          </w:p>
        </w:tc>
        <w:tc>
          <w:tcPr>
            <w:tcW w:w="951"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szCs w:val="21"/>
              </w:rPr>
            </w:pPr>
          </w:p>
        </w:tc>
        <w:tc>
          <w:tcPr>
            <w:tcW w:w="1260" w:type="dxa"/>
            <w:gridSpan w:val="2"/>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szCs w:val="21"/>
              </w:rPr>
            </w:pPr>
            <w:r>
              <w:rPr>
                <w:szCs w:val="21"/>
              </w:rPr>
              <w:t>技术职称</w:t>
            </w:r>
          </w:p>
        </w:tc>
        <w:tc>
          <w:tcPr>
            <w:tcW w:w="1879" w:type="dxa"/>
            <w:gridSpan w:val="3"/>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szCs w:val="21"/>
              </w:rPr>
            </w:pPr>
          </w:p>
        </w:tc>
        <w:tc>
          <w:tcPr>
            <w:tcW w:w="860"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szCs w:val="21"/>
              </w:rPr>
            </w:pPr>
            <w:r>
              <w:rPr>
                <w:szCs w:val="21"/>
              </w:rPr>
              <w:t>电话</w:t>
            </w:r>
          </w:p>
        </w:tc>
        <w:tc>
          <w:tcPr>
            <w:tcW w:w="992"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1728"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szCs w:val="21"/>
              </w:rPr>
            </w:pPr>
            <w:r>
              <w:rPr>
                <w:szCs w:val="21"/>
              </w:rPr>
              <w:t>成立时间</w:t>
            </w:r>
          </w:p>
        </w:tc>
        <w:tc>
          <w:tcPr>
            <w:tcW w:w="1849" w:type="dxa"/>
            <w:gridSpan w:val="2"/>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szCs w:val="21"/>
              </w:rPr>
            </w:pPr>
          </w:p>
        </w:tc>
        <w:tc>
          <w:tcPr>
            <w:tcW w:w="4991" w:type="dxa"/>
            <w:gridSpan w:val="7"/>
            <w:tcBorders>
              <w:top w:val="single" w:color="auto" w:sz="4" w:space="0"/>
              <w:left w:val="single" w:color="auto" w:sz="4" w:space="0"/>
              <w:bottom w:val="single" w:color="auto" w:sz="4" w:space="0"/>
              <w:right w:val="single" w:color="auto" w:sz="4" w:space="0"/>
            </w:tcBorders>
            <w:vAlign w:val="center"/>
          </w:tcPr>
          <w:p>
            <w:pPr>
              <w:topLinePunct/>
              <w:spacing w:line="440" w:lineRule="exact"/>
              <w:ind w:firstLine="105" w:firstLineChars="50"/>
              <w:jc w:val="center"/>
              <w:rPr>
                <w:szCs w:val="21"/>
              </w:rPr>
            </w:pPr>
            <w:r>
              <w:rPr>
                <w:szCs w:val="21"/>
              </w:rPr>
              <w:t>员工总人数：</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58" w:hRule="atLeast"/>
        </w:trPr>
        <w:tc>
          <w:tcPr>
            <w:tcW w:w="1728"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szCs w:val="21"/>
              </w:rPr>
            </w:pPr>
            <w:r>
              <w:rPr>
                <w:szCs w:val="21"/>
              </w:rPr>
              <w:t>企业资质等级</w:t>
            </w:r>
          </w:p>
        </w:tc>
        <w:tc>
          <w:tcPr>
            <w:tcW w:w="1849" w:type="dxa"/>
            <w:gridSpan w:val="2"/>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szCs w:val="21"/>
              </w:rPr>
            </w:pPr>
          </w:p>
        </w:tc>
        <w:tc>
          <w:tcPr>
            <w:tcW w:w="840" w:type="dxa"/>
            <w:vMerge w:val="restart"/>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szCs w:val="21"/>
              </w:rPr>
            </w:pPr>
            <w:r>
              <w:rPr>
                <w:szCs w:val="21"/>
              </w:rPr>
              <w:t>其中</w:t>
            </w:r>
          </w:p>
        </w:tc>
        <w:tc>
          <w:tcPr>
            <w:tcW w:w="2299" w:type="dxa"/>
            <w:gridSpan w:val="4"/>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szCs w:val="21"/>
              </w:rPr>
            </w:pPr>
            <w:r>
              <w:rPr>
                <w:szCs w:val="21"/>
              </w:rPr>
              <w:t>项目经理</w:t>
            </w:r>
          </w:p>
        </w:tc>
        <w:tc>
          <w:tcPr>
            <w:tcW w:w="1852" w:type="dxa"/>
            <w:gridSpan w:val="2"/>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10" w:hRule="atLeast"/>
        </w:trPr>
        <w:tc>
          <w:tcPr>
            <w:tcW w:w="1728"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szCs w:val="21"/>
              </w:rPr>
            </w:pPr>
            <w:r>
              <w:rPr>
                <w:szCs w:val="21"/>
              </w:rPr>
              <w:t>营业执照号</w:t>
            </w:r>
          </w:p>
        </w:tc>
        <w:tc>
          <w:tcPr>
            <w:tcW w:w="1849" w:type="dxa"/>
            <w:gridSpan w:val="2"/>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szCs w:val="21"/>
              </w:rPr>
            </w:pPr>
          </w:p>
        </w:tc>
        <w:tc>
          <w:tcPr>
            <w:tcW w:w="840" w:type="dxa"/>
            <w:vMerge w:val="continue"/>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szCs w:val="21"/>
              </w:rPr>
            </w:pPr>
          </w:p>
        </w:tc>
        <w:tc>
          <w:tcPr>
            <w:tcW w:w="2299" w:type="dxa"/>
            <w:gridSpan w:val="4"/>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szCs w:val="21"/>
              </w:rPr>
            </w:pPr>
            <w:r>
              <w:rPr>
                <w:szCs w:val="21"/>
              </w:rPr>
              <w:t>高级职称人员</w:t>
            </w:r>
          </w:p>
        </w:tc>
        <w:tc>
          <w:tcPr>
            <w:tcW w:w="1852" w:type="dxa"/>
            <w:gridSpan w:val="2"/>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04" w:hRule="atLeast"/>
        </w:trPr>
        <w:tc>
          <w:tcPr>
            <w:tcW w:w="1728"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szCs w:val="21"/>
              </w:rPr>
            </w:pPr>
            <w:r>
              <w:rPr>
                <w:szCs w:val="21"/>
              </w:rPr>
              <w:t>注册资金</w:t>
            </w:r>
          </w:p>
        </w:tc>
        <w:tc>
          <w:tcPr>
            <w:tcW w:w="1849" w:type="dxa"/>
            <w:gridSpan w:val="2"/>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szCs w:val="21"/>
              </w:rPr>
            </w:pPr>
          </w:p>
        </w:tc>
        <w:tc>
          <w:tcPr>
            <w:tcW w:w="840" w:type="dxa"/>
            <w:vMerge w:val="continue"/>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szCs w:val="21"/>
              </w:rPr>
            </w:pPr>
          </w:p>
        </w:tc>
        <w:tc>
          <w:tcPr>
            <w:tcW w:w="2299" w:type="dxa"/>
            <w:gridSpan w:val="4"/>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szCs w:val="21"/>
              </w:rPr>
            </w:pPr>
            <w:r>
              <w:rPr>
                <w:szCs w:val="21"/>
              </w:rPr>
              <w:t>中级职称人员</w:t>
            </w:r>
          </w:p>
        </w:tc>
        <w:tc>
          <w:tcPr>
            <w:tcW w:w="1852" w:type="dxa"/>
            <w:gridSpan w:val="2"/>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trPr>
        <w:tc>
          <w:tcPr>
            <w:tcW w:w="1728"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szCs w:val="21"/>
              </w:rPr>
            </w:pPr>
            <w:r>
              <w:rPr>
                <w:szCs w:val="21"/>
              </w:rPr>
              <w:t>开户银行</w:t>
            </w:r>
          </w:p>
        </w:tc>
        <w:tc>
          <w:tcPr>
            <w:tcW w:w="1849" w:type="dxa"/>
            <w:gridSpan w:val="2"/>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szCs w:val="21"/>
              </w:rPr>
            </w:pPr>
          </w:p>
        </w:tc>
        <w:tc>
          <w:tcPr>
            <w:tcW w:w="840" w:type="dxa"/>
            <w:vMerge w:val="continue"/>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szCs w:val="21"/>
              </w:rPr>
            </w:pPr>
          </w:p>
        </w:tc>
        <w:tc>
          <w:tcPr>
            <w:tcW w:w="2299" w:type="dxa"/>
            <w:gridSpan w:val="4"/>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szCs w:val="21"/>
              </w:rPr>
            </w:pPr>
            <w:r>
              <w:rPr>
                <w:szCs w:val="21"/>
              </w:rPr>
              <w:t>初级职称人员</w:t>
            </w:r>
          </w:p>
        </w:tc>
        <w:tc>
          <w:tcPr>
            <w:tcW w:w="1852" w:type="dxa"/>
            <w:gridSpan w:val="2"/>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06" w:hRule="atLeast"/>
        </w:trPr>
        <w:tc>
          <w:tcPr>
            <w:tcW w:w="1728"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szCs w:val="21"/>
              </w:rPr>
            </w:pPr>
            <w:r>
              <w:rPr>
                <w:szCs w:val="21"/>
              </w:rPr>
              <w:t>账号</w:t>
            </w:r>
          </w:p>
        </w:tc>
        <w:tc>
          <w:tcPr>
            <w:tcW w:w="1849" w:type="dxa"/>
            <w:gridSpan w:val="2"/>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szCs w:val="21"/>
              </w:rPr>
            </w:pPr>
          </w:p>
        </w:tc>
        <w:tc>
          <w:tcPr>
            <w:tcW w:w="840" w:type="dxa"/>
            <w:vMerge w:val="continue"/>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szCs w:val="21"/>
              </w:rPr>
            </w:pPr>
          </w:p>
        </w:tc>
        <w:tc>
          <w:tcPr>
            <w:tcW w:w="2299" w:type="dxa"/>
            <w:gridSpan w:val="4"/>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pPr>
            <w:r>
              <w:rPr>
                <w:szCs w:val="21"/>
              </w:rPr>
              <w:t>技工</w:t>
            </w:r>
          </w:p>
        </w:tc>
        <w:tc>
          <w:tcPr>
            <w:tcW w:w="1852" w:type="dxa"/>
            <w:gridSpan w:val="2"/>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80" w:hRule="atLeast"/>
        </w:trPr>
        <w:tc>
          <w:tcPr>
            <w:tcW w:w="1728" w:type="dxa"/>
            <w:tcBorders>
              <w:top w:val="single" w:color="auto" w:sz="4" w:space="0"/>
              <w:left w:val="single" w:color="auto" w:sz="4" w:space="0"/>
              <w:right w:val="single" w:color="auto" w:sz="4" w:space="0"/>
            </w:tcBorders>
            <w:vAlign w:val="center"/>
          </w:tcPr>
          <w:p>
            <w:pPr>
              <w:topLinePunct/>
              <w:spacing w:line="440" w:lineRule="exact"/>
              <w:ind w:firstLine="210" w:firstLineChars="100"/>
              <w:jc w:val="center"/>
              <w:rPr>
                <w:szCs w:val="21"/>
              </w:rPr>
            </w:pPr>
            <w:r>
              <w:rPr>
                <w:szCs w:val="21"/>
              </w:rPr>
              <w:t>经营范围</w:t>
            </w:r>
          </w:p>
        </w:tc>
        <w:tc>
          <w:tcPr>
            <w:tcW w:w="6840" w:type="dxa"/>
            <w:gridSpan w:val="9"/>
            <w:tcBorders>
              <w:top w:val="single" w:color="auto" w:sz="4" w:space="0"/>
              <w:left w:val="single" w:color="auto" w:sz="4" w:space="0"/>
              <w:right w:val="single" w:color="auto" w:sz="4" w:space="0"/>
            </w:tcBorders>
            <w:vAlign w:val="center"/>
          </w:tcPr>
          <w:p>
            <w:pPr>
              <w:topLinePunct/>
              <w:spacing w:line="440" w:lineRule="exact"/>
              <w:jc w:val="center"/>
              <w:rPr>
                <w:szCs w:val="21"/>
              </w:rPr>
            </w:pPr>
          </w:p>
          <w:p>
            <w:pPr>
              <w:topLinePunct/>
              <w:spacing w:line="440" w:lineRule="exact"/>
              <w:jc w:val="center"/>
              <w:rPr>
                <w:szCs w:val="21"/>
              </w:rPr>
            </w:pPr>
          </w:p>
          <w:p>
            <w:pPr>
              <w:topLinePunct/>
              <w:spacing w:line="440" w:lineRule="exact"/>
              <w:jc w:val="center"/>
              <w:rPr>
                <w:szCs w:val="21"/>
              </w:rPr>
            </w:pPr>
          </w:p>
          <w:p>
            <w:pPr>
              <w:topLinePunct/>
              <w:spacing w:line="440" w:lineRule="exact"/>
              <w:jc w:val="center"/>
              <w:rPr>
                <w:szCs w:val="21"/>
              </w:rPr>
            </w:pPr>
          </w:p>
          <w:p>
            <w:pPr>
              <w:topLinePunct/>
              <w:spacing w:line="440" w:lineRule="exact"/>
              <w:rPr>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5" w:hRule="atLeast"/>
        </w:trPr>
        <w:tc>
          <w:tcPr>
            <w:tcW w:w="1728"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szCs w:val="21"/>
              </w:rPr>
            </w:pPr>
            <w:r>
              <w:rPr>
                <w:szCs w:val="21"/>
              </w:rPr>
              <w:t>备注</w:t>
            </w:r>
          </w:p>
        </w:tc>
        <w:tc>
          <w:tcPr>
            <w:tcW w:w="6840" w:type="dxa"/>
            <w:gridSpan w:val="9"/>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szCs w:val="21"/>
              </w:rPr>
            </w:pPr>
          </w:p>
        </w:tc>
      </w:tr>
    </w:tbl>
    <w:p>
      <w:r>
        <w:rPr>
          <w:rFonts w:hint="eastAsia"/>
        </w:rPr>
        <w:t>备注：本表后应附企业法人营业执照、企业资质证书、安全生产许可证等材料的复印件。</w:t>
      </w:r>
    </w:p>
    <w:p>
      <w:pPr>
        <w:widowControl/>
        <w:jc w:val="left"/>
      </w:pPr>
      <w:r>
        <w:br w:type="page"/>
      </w:r>
    </w:p>
    <w:p>
      <w:pPr>
        <w:pStyle w:val="6"/>
        <w:jc w:val="center"/>
        <w:rPr>
          <w:sz w:val="28"/>
        </w:rPr>
      </w:pPr>
      <w:bookmarkStart w:id="108" w:name="_Toc43371511"/>
      <w:r>
        <w:rPr>
          <w:rFonts w:hint="eastAsia"/>
          <w:sz w:val="28"/>
        </w:rPr>
        <w:t>（二）近年财务状况表</w:t>
      </w:r>
      <w:bookmarkEnd w:id="108"/>
    </w:p>
    <w:p>
      <w:pPr>
        <w:spacing w:line="360" w:lineRule="auto"/>
      </w:pPr>
      <w:r>
        <w:rPr>
          <w:rFonts w:hint="eastAsia"/>
        </w:rPr>
        <w:t>提供下列资料之一作为财务状况证明资料（复印件或扫描件）：</w:t>
      </w:r>
    </w:p>
    <w:p>
      <w:pPr>
        <w:pStyle w:val="172"/>
        <w:numPr>
          <w:ilvl w:val="0"/>
          <w:numId w:val="7"/>
        </w:numPr>
        <w:spacing w:line="360" w:lineRule="auto"/>
        <w:ind w:firstLineChars="0"/>
      </w:pPr>
      <w:bookmarkStart w:id="109" w:name="_Hlk43371122"/>
      <w:r>
        <w:rPr>
          <w:rFonts w:hint="eastAsia"/>
        </w:rPr>
        <w:t>2</w:t>
      </w:r>
      <w:r>
        <w:t>018</w:t>
      </w:r>
      <w:r>
        <w:rPr>
          <w:rFonts w:hint="eastAsia"/>
        </w:rPr>
        <w:t>年度</w:t>
      </w:r>
      <w:r>
        <w:rPr>
          <w:rFonts w:hint="eastAsia" w:asciiTheme="minorHAnsi" w:hAnsiTheme="minorHAnsi" w:eastAsiaTheme="minorEastAsia" w:cstheme="minorBidi"/>
          <w:szCs w:val="22"/>
        </w:rPr>
        <w:t>或2</w:t>
      </w:r>
      <w:r>
        <w:rPr>
          <w:rFonts w:asciiTheme="minorHAnsi" w:hAnsiTheme="minorHAnsi" w:eastAsiaTheme="minorEastAsia" w:cstheme="minorBidi"/>
          <w:szCs w:val="22"/>
        </w:rPr>
        <w:t>019</w:t>
      </w:r>
      <w:r>
        <w:rPr>
          <w:rFonts w:hint="eastAsia"/>
        </w:rPr>
        <w:t>年度</w:t>
      </w:r>
      <w:bookmarkEnd w:id="109"/>
      <w:r>
        <w:rPr>
          <w:rFonts w:hint="eastAsia"/>
        </w:rPr>
        <w:t>经会计师事务所或者审计机构审计的财务报告；</w:t>
      </w:r>
    </w:p>
    <w:p>
      <w:pPr>
        <w:spacing w:line="360" w:lineRule="auto"/>
      </w:pPr>
      <w:r>
        <w:rPr>
          <w:rFonts w:hint="eastAsia"/>
        </w:rPr>
        <w:t>②基本账户开户银行出具的有效资信证明及基本账户开户证明；</w:t>
      </w:r>
    </w:p>
    <w:p>
      <w:pPr>
        <w:spacing w:line="360" w:lineRule="auto"/>
      </w:pPr>
      <w:r>
        <w:rPr>
          <w:rFonts w:hint="eastAsia"/>
        </w:rPr>
        <w:t>③政府采购专业担保机构对</w:t>
      </w:r>
      <w:r>
        <w:rPr>
          <w:rFonts w:hint="eastAsia"/>
          <w:lang w:eastAsia="zh-CN"/>
        </w:rPr>
        <w:t>响应人</w:t>
      </w:r>
      <w:r>
        <w:rPr>
          <w:rFonts w:hint="eastAsia"/>
        </w:rPr>
        <w:t>进行资信审查后出具的磋商担保函。</w:t>
      </w:r>
    </w:p>
    <w:p>
      <w:pPr>
        <w:spacing w:line="360" w:lineRule="auto"/>
      </w:pPr>
      <w:r>
        <w:rPr>
          <w:rFonts w:hint="eastAsia"/>
        </w:rPr>
        <w:t>注：</w:t>
      </w:r>
    </w:p>
    <w:p>
      <w:pPr>
        <w:spacing w:line="360" w:lineRule="auto"/>
      </w:pPr>
      <w:r>
        <w:rPr>
          <w:rFonts w:hint="eastAsia"/>
        </w:rPr>
        <w:t>采用第②类基本账户开户银行出具的资信证明的，须满足以下要求：</w:t>
      </w:r>
    </w:p>
    <w:p>
      <w:pPr>
        <w:spacing w:line="360" w:lineRule="auto"/>
      </w:pPr>
      <w:r>
        <w:rPr>
          <w:rFonts w:hint="eastAsia"/>
        </w:rPr>
        <w:t>1）资信证明开具时间须在提交响应文件截止时间前半年内，且在写明的有效期内；</w:t>
      </w:r>
    </w:p>
    <w:p>
      <w:pPr>
        <w:spacing w:line="360" w:lineRule="auto"/>
      </w:pPr>
      <w:r>
        <w:rPr>
          <w:rFonts w:hint="eastAsia"/>
        </w:rPr>
        <w:t>2）资信证明写明针对采购项目的，项目名称必须与本项目名称一致。</w:t>
      </w:r>
    </w:p>
    <w:p>
      <w:pPr>
        <w:pStyle w:val="6"/>
        <w:jc w:val="center"/>
        <w:rPr>
          <w:sz w:val="28"/>
        </w:rPr>
      </w:pPr>
      <w:bookmarkStart w:id="110" w:name="_Toc15754"/>
      <w:bookmarkStart w:id="111" w:name="_Toc43371512"/>
      <w:r>
        <w:rPr>
          <w:rFonts w:hint="eastAsia"/>
          <w:sz w:val="28"/>
        </w:rPr>
        <w:t>（三）依法缴纳税收和社会保障资金状况</w:t>
      </w:r>
      <w:bookmarkEnd w:id="110"/>
      <w:bookmarkEnd w:id="111"/>
    </w:p>
    <w:p>
      <w:pPr>
        <w:spacing w:line="360" w:lineRule="auto"/>
      </w:pPr>
      <w:r>
        <w:rPr>
          <w:rFonts w:hint="eastAsia"/>
        </w:rPr>
        <w:t>1.附投标人2</w:t>
      </w:r>
      <w:r>
        <w:t>020</w:t>
      </w:r>
      <w:r>
        <w:rPr>
          <w:rFonts w:hint="eastAsia"/>
        </w:rPr>
        <w:t>年任意一个月的缴纳税收的凭据；</w:t>
      </w:r>
    </w:p>
    <w:p>
      <w:pPr>
        <w:spacing w:line="360" w:lineRule="auto"/>
      </w:pPr>
      <w:r>
        <w:rPr>
          <w:rFonts w:hint="eastAsia"/>
        </w:rPr>
        <w:t>注：</w:t>
      </w:r>
    </w:p>
    <w:p>
      <w:pPr>
        <w:spacing w:line="360" w:lineRule="auto"/>
      </w:pPr>
      <w:r>
        <w:rPr>
          <w:rFonts w:hint="eastAsia"/>
        </w:rPr>
        <w:t>1）纳税证明必须包含增值税或营业税或企业所得税其中之一，并提供缴费银行单据或税务机关出具的证明复印件或扫描件作为证明材料；</w:t>
      </w:r>
    </w:p>
    <w:p>
      <w:pPr>
        <w:spacing w:line="360" w:lineRule="auto"/>
      </w:pPr>
      <w:r>
        <w:rPr>
          <w:rFonts w:hint="eastAsia"/>
        </w:rPr>
        <w:t>2）投标人近半年零缴税，须提供近半年税务系统中纳税申报截图（包括增值税、营业税、企业所得税）信息作为证明材料，其中：成立时间不满半年的企业，零缴税仅须提供成立以来税务系统纳税申报截图；</w:t>
      </w:r>
    </w:p>
    <w:p>
      <w:pPr>
        <w:spacing w:line="360" w:lineRule="auto"/>
      </w:pPr>
      <w:r>
        <w:rPr>
          <w:rFonts w:hint="eastAsia"/>
        </w:rPr>
        <w:t>3）成立时间未超过 1 个月的一般纳税人，或者未达到季报周期的小规模纳税人，提供合理说明；</w:t>
      </w:r>
    </w:p>
    <w:p>
      <w:pPr>
        <w:spacing w:line="360" w:lineRule="auto"/>
      </w:pPr>
      <w:r>
        <w:rPr>
          <w:rFonts w:hint="eastAsia"/>
        </w:rPr>
        <w:t>4）投标人依法免税，应提供依法免税的相应证明文件。</w:t>
      </w:r>
    </w:p>
    <w:p>
      <w:pPr>
        <w:spacing w:line="360" w:lineRule="auto"/>
      </w:pPr>
      <w:r>
        <w:rPr>
          <w:rFonts w:hint="eastAsia"/>
        </w:rPr>
        <w:t>2.附2</w:t>
      </w:r>
      <w:r>
        <w:t>020</w:t>
      </w:r>
      <w:r>
        <w:rPr>
          <w:rFonts w:hint="eastAsia"/>
        </w:rPr>
        <w:t>年任意一个月的缴纳社会保险的凭据；</w:t>
      </w:r>
    </w:p>
    <w:p>
      <w:pPr>
        <w:widowControl/>
        <w:jc w:val="left"/>
      </w:pPr>
      <w:r>
        <w:rPr>
          <w:rFonts w:hint="eastAsia"/>
        </w:rPr>
        <w:t>投标人不需要缴纳社保的，需提供能够有效证明其属于国家允许不缴纳社保的相关证明文件（复印件或扫描件）。</w:t>
      </w:r>
      <w:r>
        <w:br w:type="page"/>
      </w:r>
    </w:p>
    <w:p>
      <w:pPr>
        <w:pStyle w:val="6"/>
        <w:jc w:val="center"/>
        <w:rPr>
          <w:sz w:val="28"/>
        </w:rPr>
      </w:pPr>
      <w:bookmarkStart w:id="112" w:name="_Toc43371513"/>
      <w:bookmarkStart w:id="113" w:name="_Toc247527850"/>
      <w:bookmarkStart w:id="114" w:name="_Toc144974878"/>
      <w:bookmarkStart w:id="115" w:name="_Toc296602620"/>
      <w:bookmarkStart w:id="116" w:name="_Toc265953296"/>
      <w:bookmarkStart w:id="117" w:name="_Toc247514302"/>
      <w:bookmarkStart w:id="118" w:name="_Toc152045810"/>
      <w:bookmarkStart w:id="119" w:name="_Toc152042599"/>
      <w:r>
        <w:rPr>
          <w:sz w:val="28"/>
        </w:rPr>
        <w:t>（</w:t>
      </w:r>
      <w:r>
        <w:rPr>
          <w:rFonts w:hint="eastAsia"/>
          <w:sz w:val="28"/>
        </w:rPr>
        <w:t>四</w:t>
      </w:r>
      <w:r>
        <w:rPr>
          <w:sz w:val="28"/>
        </w:rPr>
        <w:t>）近年完成的类似项目情况表</w:t>
      </w:r>
      <w:bookmarkEnd w:id="112"/>
      <w:bookmarkEnd w:id="113"/>
      <w:bookmarkEnd w:id="114"/>
      <w:bookmarkEnd w:id="115"/>
      <w:bookmarkEnd w:id="116"/>
      <w:bookmarkEnd w:id="117"/>
      <w:bookmarkEnd w:id="118"/>
      <w:bookmarkEnd w:id="119"/>
    </w:p>
    <w:tbl>
      <w:tblPr>
        <w:tblStyle w:val="4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9"/>
        <w:gridCol w:w="62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trPr>
        <w:tc>
          <w:tcPr>
            <w:tcW w:w="2269" w:type="dxa"/>
            <w:vAlign w:val="center"/>
          </w:tcPr>
          <w:p>
            <w:pPr>
              <w:topLinePunct/>
              <w:spacing w:line="440" w:lineRule="exact"/>
              <w:jc w:val="center"/>
              <w:rPr>
                <w:szCs w:val="21"/>
              </w:rPr>
            </w:pPr>
            <w:r>
              <w:rPr>
                <w:szCs w:val="21"/>
              </w:rPr>
              <w:t>项目名称</w:t>
            </w:r>
          </w:p>
        </w:tc>
        <w:tc>
          <w:tcPr>
            <w:tcW w:w="6253" w:type="dxa"/>
          </w:tcPr>
          <w:p>
            <w:pPr>
              <w:topLinePunct/>
              <w:spacing w:line="440" w:lineRule="exact"/>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trPr>
        <w:tc>
          <w:tcPr>
            <w:tcW w:w="2269" w:type="dxa"/>
            <w:vAlign w:val="center"/>
          </w:tcPr>
          <w:p>
            <w:pPr>
              <w:topLinePunct/>
              <w:spacing w:line="440" w:lineRule="exact"/>
              <w:jc w:val="center"/>
              <w:rPr>
                <w:szCs w:val="21"/>
              </w:rPr>
            </w:pPr>
            <w:r>
              <w:rPr>
                <w:szCs w:val="21"/>
              </w:rPr>
              <w:t>项目所在地</w:t>
            </w:r>
          </w:p>
        </w:tc>
        <w:tc>
          <w:tcPr>
            <w:tcW w:w="6253" w:type="dxa"/>
          </w:tcPr>
          <w:p>
            <w:pPr>
              <w:topLinePunct/>
              <w:spacing w:line="440" w:lineRule="exact"/>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trPr>
        <w:tc>
          <w:tcPr>
            <w:tcW w:w="2269" w:type="dxa"/>
            <w:vAlign w:val="center"/>
          </w:tcPr>
          <w:p>
            <w:pPr>
              <w:topLinePunct/>
              <w:spacing w:line="440" w:lineRule="exact"/>
              <w:jc w:val="center"/>
              <w:rPr>
                <w:szCs w:val="21"/>
              </w:rPr>
            </w:pPr>
            <w:r>
              <w:rPr>
                <w:szCs w:val="21"/>
              </w:rPr>
              <w:t>发包人名称</w:t>
            </w:r>
          </w:p>
        </w:tc>
        <w:tc>
          <w:tcPr>
            <w:tcW w:w="6253" w:type="dxa"/>
          </w:tcPr>
          <w:p>
            <w:pPr>
              <w:topLinePunct/>
              <w:spacing w:line="440" w:lineRule="exact"/>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2269" w:type="dxa"/>
            <w:vAlign w:val="center"/>
          </w:tcPr>
          <w:p>
            <w:pPr>
              <w:topLinePunct/>
              <w:spacing w:line="440" w:lineRule="exact"/>
              <w:jc w:val="center"/>
              <w:rPr>
                <w:szCs w:val="21"/>
              </w:rPr>
            </w:pPr>
            <w:r>
              <w:rPr>
                <w:szCs w:val="21"/>
              </w:rPr>
              <w:t>发包人地址</w:t>
            </w:r>
          </w:p>
        </w:tc>
        <w:tc>
          <w:tcPr>
            <w:tcW w:w="6253" w:type="dxa"/>
          </w:tcPr>
          <w:p>
            <w:pPr>
              <w:topLinePunct/>
              <w:spacing w:line="440" w:lineRule="exact"/>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2269" w:type="dxa"/>
            <w:vAlign w:val="center"/>
          </w:tcPr>
          <w:p>
            <w:pPr>
              <w:topLinePunct/>
              <w:spacing w:line="440" w:lineRule="exact"/>
              <w:jc w:val="center"/>
              <w:rPr>
                <w:szCs w:val="21"/>
              </w:rPr>
            </w:pPr>
            <w:r>
              <w:rPr>
                <w:szCs w:val="21"/>
              </w:rPr>
              <w:t>发包人电话</w:t>
            </w:r>
          </w:p>
        </w:tc>
        <w:tc>
          <w:tcPr>
            <w:tcW w:w="6253" w:type="dxa"/>
          </w:tcPr>
          <w:p>
            <w:pPr>
              <w:topLinePunct/>
              <w:spacing w:line="440" w:lineRule="exact"/>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trPr>
        <w:tc>
          <w:tcPr>
            <w:tcW w:w="2269" w:type="dxa"/>
            <w:vAlign w:val="center"/>
          </w:tcPr>
          <w:p>
            <w:pPr>
              <w:topLinePunct/>
              <w:spacing w:line="440" w:lineRule="exact"/>
              <w:jc w:val="center"/>
              <w:rPr>
                <w:szCs w:val="21"/>
              </w:rPr>
            </w:pPr>
            <w:r>
              <w:rPr>
                <w:szCs w:val="21"/>
              </w:rPr>
              <w:t>合同价格</w:t>
            </w:r>
          </w:p>
        </w:tc>
        <w:tc>
          <w:tcPr>
            <w:tcW w:w="6253" w:type="dxa"/>
          </w:tcPr>
          <w:p>
            <w:pPr>
              <w:topLinePunct/>
              <w:spacing w:line="440" w:lineRule="exact"/>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2269" w:type="dxa"/>
            <w:vAlign w:val="center"/>
          </w:tcPr>
          <w:p>
            <w:pPr>
              <w:topLinePunct/>
              <w:spacing w:line="440" w:lineRule="exact"/>
              <w:jc w:val="center"/>
              <w:rPr>
                <w:szCs w:val="21"/>
              </w:rPr>
            </w:pPr>
            <w:r>
              <w:rPr>
                <w:szCs w:val="21"/>
              </w:rPr>
              <w:t>开工日期</w:t>
            </w:r>
          </w:p>
        </w:tc>
        <w:tc>
          <w:tcPr>
            <w:tcW w:w="6253" w:type="dxa"/>
          </w:tcPr>
          <w:p>
            <w:pPr>
              <w:topLinePunct/>
              <w:spacing w:line="440" w:lineRule="exact"/>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trPr>
        <w:tc>
          <w:tcPr>
            <w:tcW w:w="2269" w:type="dxa"/>
            <w:vAlign w:val="center"/>
          </w:tcPr>
          <w:p>
            <w:pPr>
              <w:topLinePunct/>
              <w:spacing w:line="440" w:lineRule="exact"/>
              <w:jc w:val="center"/>
              <w:rPr>
                <w:szCs w:val="21"/>
              </w:rPr>
            </w:pPr>
            <w:r>
              <w:rPr>
                <w:rFonts w:hint="eastAsia"/>
              </w:rPr>
              <w:t>竣工</w:t>
            </w:r>
            <w:r>
              <w:rPr>
                <w:szCs w:val="21"/>
              </w:rPr>
              <w:t>日期</w:t>
            </w:r>
          </w:p>
        </w:tc>
        <w:tc>
          <w:tcPr>
            <w:tcW w:w="6253" w:type="dxa"/>
          </w:tcPr>
          <w:p>
            <w:pPr>
              <w:topLinePunct/>
              <w:spacing w:line="440" w:lineRule="exact"/>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trPr>
        <w:tc>
          <w:tcPr>
            <w:tcW w:w="2269" w:type="dxa"/>
            <w:vAlign w:val="center"/>
          </w:tcPr>
          <w:p>
            <w:pPr>
              <w:topLinePunct/>
              <w:spacing w:line="440" w:lineRule="exact"/>
              <w:jc w:val="center"/>
              <w:rPr>
                <w:szCs w:val="21"/>
              </w:rPr>
            </w:pPr>
            <w:r>
              <w:rPr>
                <w:szCs w:val="21"/>
              </w:rPr>
              <w:t>承担的工作</w:t>
            </w:r>
          </w:p>
        </w:tc>
        <w:tc>
          <w:tcPr>
            <w:tcW w:w="6253" w:type="dxa"/>
          </w:tcPr>
          <w:p>
            <w:pPr>
              <w:topLinePunct/>
              <w:spacing w:line="440" w:lineRule="exact"/>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2269" w:type="dxa"/>
            <w:vAlign w:val="center"/>
          </w:tcPr>
          <w:p>
            <w:pPr>
              <w:topLinePunct/>
              <w:spacing w:line="440" w:lineRule="exact"/>
              <w:jc w:val="center"/>
              <w:rPr>
                <w:szCs w:val="21"/>
              </w:rPr>
            </w:pPr>
            <w:r>
              <w:rPr>
                <w:szCs w:val="21"/>
              </w:rPr>
              <w:t>工程质量</w:t>
            </w:r>
          </w:p>
        </w:tc>
        <w:tc>
          <w:tcPr>
            <w:tcW w:w="6253" w:type="dxa"/>
          </w:tcPr>
          <w:p>
            <w:pPr>
              <w:topLinePunct/>
              <w:spacing w:line="440" w:lineRule="exact"/>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2269" w:type="dxa"/>
            <w:vAlign w:val="center"/>
          </w:tcPr>
          <w:p>
            <w:pPr>
              <w:topLinePunct/>
              <w:spacing w:line="440" w:lineRule="exact"/>
              <w:jc w:val="center"/>
              <w:rPr>
                <w:szCs w:val="21"/>
              </w:rPr>
            </w:pPr>
            <w:r>
              <w:rPr>
                <w:szCs w:val="21"/>
              </w:rPr>
              <w:t>项目经理</w:t>
            </w:r>
          </w:p>
        </w:tc>
        <w:tc>
          <w:tcPr>
            <w:tcW w:w="6253" w:type="dxa"/>
          </w:tcPr>
          <w:p>
            <w:pPr>
              <w:topLinePunct/>
              <w:spacing w:line="440" w:lineRule="exact"/>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trPr>
        <w:tc>
          <w:tcPr>
            <w:tcW w:w="2269" w:type="dxa"/>
            <w:vAlign w:val="center"/>
          </w:tcPr>
          <w:p>
            <w:pPr>
              <w:topLinePunct/>
              <w:spacing w:line="440" w:lineRule="exact"/>
              <w:jc w:val="center"/>
              <w:rPr>
                <w:szCs w:val="21"/>
              </w:rPr>
            </w:pPr>
            <w:r>
              <w:rPr>
                <w:szCs w:val="21"/>
              </w:rPr>
              <w:t>技术负责人</w:t>
            </w:r>
          </w:p>
        </w:tc>
        <w:tc>
          <w:tcPr>
            <w:tcW w:w="6253" w:type="dxa"/>
          </w:tcPr>
          <w:p>
            <w:pPr>
              <w:topLinePunct/>
              <w:spacing w:line="440" w:lineRule="exact"/>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2269" w:type="dxa"/>
            <w:vAlign w:val="center"/>
          </w:tcPr>
          <w:p>
            <w:pPr>
              <w:topLinePunct/>
              <w:spacing w:line="440" w:lineRule="exact"/>
              <w:jc w:val="center"/>
              <w:rPr>
                <w:szCs w:val="21"/>
              </w:rPr>
            </w:pPr>
            <w:r>
              <w:rPr>
                <w:szCs w:val="21"/>
              </w:rPr>
              <w:t>项目描述</w:t>
            </w:r>
          </w:p>
        </w:tc>
        <w:tc>
          <w:tcPr>
            <w:tcW w:w="6253" w:type="dxa"/>
          </w:tcPr>
          <w:p>
            <w:pPr>
              <w:topLinePunct/>
              <w:spacing w:line="440" w:lineRule="exact"/>
              <w:rPr>
                <w:szCs w:val="21"/>
              </w:rPr>
            </w:pPr>
          </w:p>
          <w:p>
            <w:pPr>
              <w:topLinePunct/>
              <w:spacing w:line="440" w:lineRule="exact"/>
              <w:rPr>
                <w:szCs w:val="21"/>
              </w:rPr>
            </w:pPr>
          </w:p>
          <w:p>
            <w:pPr>
              <w:topLinePunct/>
              <w:spacing w:line="440" w:lineRule="exact"/>
              <w:rPr>
                <w:szCs w:val="21"/>
              </w:rPr>
            </w:pPr>
          </w:p>
          <w:p>
            <w:pPr>
              <w:topLinePunct/>
              <w:spacing w:line="440" w:lineRule="exact"/>
              <w:rPr>
                <w:szCs w:val="21"/>
              </w:rPr>
            </w:pPr>
          </w:p>
          <w:p>
            <w:pPr>
              <w:topLinePunct/>
              <w:spacing w:line="440" w:lineRule="exact"/>
              <w:rPr>
                <w:szCs w:val="21"/>
              </w:rPr>
            </w:pPr>
          </w:p>
          <w:p>
            <w:pPr>
              <w:topLinePunct/>
              <w:spacing w:line="440" w:lineRule="exact"/>
              <w:rPr>
                <w:szCs w:val="21"/>
              </w:rPr>
            </w:pPr>
          </w:p>
          <w:p>
            <w:pPr>
              <w:topLinePunct/>
              <w:spacing w:line="440" w:lineRule="exact"/>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2269" w:type="dxa"/>
            <w:vAlign w:val="center"/>
          </w:tcPr>
          <w:p>
            <w:pPr>
              <w:topLinePunct/>
              <w:spacing w:line="440" w:lineRule="exact"/>
              <w:jc w:val="center"/>
              <w:rPr>
                <w:szCs w:val="21"/>
              </w:rPr>
            </w:pPr>
            <w:r>
              <w:rPr>
                <w:szCs w:val="21"/>
              </w:rPr>
              <w:t>备注</w:t>
            </w:r>
          </w:p>
        </w:tc>
        <w:tc>
          <w:tcPr>
            <w:tcW w:w="6253" w:type="dxa"/>
          </w:tcPr>
          <w:p>
            <w:pPr>
              <w:topLinePunct/>
              <w:spacing w:line="440" w:lineRule="exact"/>
              <w:rPr>
                <w:szCs w:val="21"/>
              </w:rPr>
            </w:pPr>
          </w:p>
        </w:tc>
      </w:tr>
    </w:tbl>
    <w:p/>
    <w:p>
      <w:pPr>
        <w:widowControl/>
        <w:jc w:val="left"/>
      </w:pPr>
      <w:r>
        <w:br w:type="page"/>
      </w:r>
    </w:p>
    <w:p>
      <w:pPr>
        <w:pStyle w:val="6"/>
        <w:jc w:val="center"/>
        <w:rPr>
          <w:sz w:val="28"/>
        </w:rPr>
      </w:pPr>
      <w:bookmarkStart w:id="120" w:name="_Toc43371514"/>
      <w:r>
        <w:rPr>
          <w:rFonts w:hint="eastAsia"/>
          <w:sz w:val="28"/>
        </w:rPr>
        <w:t>（五）正在实施的和新承接的项目情况表</w:t>
      </w:r>
      <w:bookmarkEnd w:id="120"/>
    </w:p>
    <w:tbl>
      <w:tblPr>
        <w:tblStyle w:val="4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19"/>
        <w:gridCol w:w="64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trPr>
        <w:tc>
          <w:tcPr>
            <w:tcW w:w="2119" w:type="dxa"/>
            <w:vAlign w:val="center"/>
          </w:tcPr>
          <w:p>
            <w:pPr>
              <w:topLinePunct/>
              <w:spacing w:line="440" w:lineRule="exact"/>
              <w:jc w:val="center"/>
              <w:rPr>
                <w:szCs w:val="21"/>
              </w:rPr>
            </w:pPr>
            <w:r>
              <w:rPr>
                <w:szCs w:val="21"/>
              </w:rPr>
              <w:t>项目名称</w:t>
            </w:r>
          </w:p>
        </w:tc>
        <w:tc>
          <w:tcPr>
            <w:tcW w:w="6403" w:type="dxa"/>
          </w:tcPr>
          <w:p>
            <w:pPr>
              <w:topLinePunct/>
              <w:spacing w:line="440" w:lineRule="exact"/>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trPr>
        <w:tc>
          <w:tcPr>
            <w:tcW w:w="2119" w:type="dxa"/>
            <w:vAlign w:val="center"/>
          </w:tcPr>
          <w:p>
            <w:pPr>
              <w:topLinePunct/>
              <w:spacing w:line="440" w:lineRule="exact"/>
              <w:jc w:val="center"/>
              <w:rPr>
                <w:szCs w:val="21"/>
              </w:rPr>
            </w:pPr>
            <w:r>
              <w:rPr>
                <w:szCs w:val="21"/>
              </w:rPr>
              <w:t>项目所在地</w:t>
            </w:r>
          </w:p>
        </w:tc>
        <w:tc>
          <w:tcPr>
            <w:tcW w:w="6403" w:type="dxa"/>
          </w:tcPr>
          <w:p>
            <w:pPr>
              <w:topLinePunct/>
              <w:spacing w:line="440" w:lineRule="exact"/>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trPr>
        <w:tc>
          <w:tcPr>
            <w:tcW w:w="2119" w:type="dxa"/>
            <w:vAlign w:val="center"/>
          </w:tcPr>
          <w:p>
            <w:pPr>
              <w:topLinePunct/>
              <w:spacing w:line="440" w:lineRule="exact"/>
              <w:jc w:val="center"/>
              <w:rPr>
                <w:szCs w:val="21"/>
              </w:rPr>
            </w:pPr>
            <w:r>
              <w:rPr>
                <w:szCs w:val="21"/>
              </w:rPr>
              <w:t>发包人名称</w:t>
            </w:r>
          </w:p>
        </w:tc>
        <w:tc>
          <w:tcPr>
            <w:tcW w:w="6403" w:type="dxa"/>
          </w:tcPr>
          <w:p>
            <w:pPr>
              <w:topLinePunct/>
              <w:spacing w:line="440" w:lineRule="exact"/>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2119" w:type="dxa"/>
            <w:vAlign w:val="center"/>
          </w:tcPr>
          <w:p>
            <w:pPr>
              <w:topLinePunct/>
              <w:spacing w:line="440" w:lineRule="exact"/>
              <w:jc w:val="center"/>
              <w:rPr>
                <w:szCs w:val="21"/>
              </w:rPr>
            </w:pPr>
            <w:r>
              <w:rPr>
                <w:szCs w:val="21"/>
              </w:rPr>
              <w:t>发包人地址</w:t>
            </w:r>
          </w:p>
        </w:tc>
        <w:tc>
          <w:tcPr>
            <w:tcW w:w="6403" w:type="dxa"/>
          </w:tcPr>
          <w:p>
            <w:pPr>
              <w:topLinePunct/>
              <w:spacing w:line="440" w:lineRule="exact"/>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2119" w:type="dxa"/>
            <w:vAlign w:val="center"/>
          </w:tcPr>
          <w:p>
            <w:pPr>
              <w:topLinePunct/>
              <w:spacing w:line="440" w:lineRule="exact"/>
              <w:jc w:val="center"/>
              <w:rPr>
                <w:szCs w:val="21"/>
              </w:rPr>
            </w:pPr>
            <w:r>
              <w:rPr>
                <w:szCs w:val="21"/>
              </w:rPr>
              <w:t>发包人电话</w:t>
            </w:r>
          </w:p>
        </w:tc>
        <w:tc>
          <w:tcPr>
            <w:tcW w:w="6403" w:type="dxa"/>
          </w:tcPr>
          <w:p>
            <w:pPr>
              <w:topLinePunct/>
              <w:spacing w:line="440" w:lineRule="exact"/>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trPr>
        <w:tc>
          <w:tcPr>
            <w:tcW w:w="2119" w:type="dxa"/>
            <w:vAlign w:val="center"/>
          </w:tcPr>
          <w:p>
            <w:pPr>
              <w:topLinePunct/>
              <w:spacing w:line="440" w:lineRule="exact"/>
              <w:jc w:val="center"/>
              <w:rPr>
                <w:szCs w:val="21"/>
              </w:rPr>
            </w:pPr>
            <w:r>
              <w:rPr>
                <w:szCs w:val="21"/>
              </w:rPr>
              <w:t>签约合同价</w:t>
            </w:r>
          </w:p>
        </w:tc>
        <w:tc>
          <w:tcPr>
            <w:tcW w:w="6403" w:type="dxa"/>
          </w:tcPr>
          <w:p>
            <w:pPr>
              <w:topLinePunct/>
              <w:spacing w:line="440" w:lineRule="exact"/>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2119" w:type="dxa"/>
            <w:vAlign w:val="center"/>
          </w:tcPr>
          <w:p>
            <w:pPr>
              <w:topLinePunct/>
              <w:spacing w:line="440" w:lineRule="exact"/>
              <w:jc w:val="center"/>
              <w:rPr>
                <w:szCs w:val="21"/>
              </w:rPr>
            </w:pPr>
            <w:r>
              <w:rPr>
                <w:szCs w:val="21"/>
              </w:rPr>
              <w:t>开工日期</w:t>
            </w:r>
          </w:p>
        </w:tc>
        <w:tc>
          <w:tcPr>
            <w:tcW w:w="6403" w:type="dxa"/>
          </w:tcPr>
          <w:p>
            <w:pPr>
              <w:topLinePunct/>
              <w:spacing w:line="440" w:lineRule="exact"/>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trPr>
        <w:tc>
          <w:tcPr>
            <w:tcW w:w="2119" w:type="dxa"/>
            <w:vAlign w:val="center"/>
          </w:tcPr>
          <w:p>
            <w:pPr>
              <w:topLinePunct/>
              <w:spacing w:line="440" w:lineRule="exact"/>
              <w:jc w:val="center"/>
              <w:rPr>
                <w:szCs w:val="21"/>
              </w:rPr>
            </w:pPr>
            <w:r>
              <w:rPr>
                <w:szCs w:val="21"/>
              </w:rPr>
              <w:t>计划</w:t>
            </w:r>
            <w:r>
              <w:rPr>
                <w:rFonts w:hint="eastAsia"/>
              </w:rPr>
              <w:t>竣工</w:t>
            </w:r>
            <w:r>
              <w:rPr>
                <w:szCs w:val="21"/>
              </w:rPr>
              <w:t>日期</w:t>
            </w:r>
          </w:p>
        </w:tc>
        <w:tc>
          <w:tcPr>
            <w:tcW w:w="6403" w:type="dxa"/>
          </w:tcPr>
          <w:p>
            <w:pPr>
              <w:topLinePunct/>
              <w:spacing w:line="440" w:lineRule="exact"/>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trPr>
        <w:tc>
          <w:tcPr>
            <w:tcW w:w="2119" w:type="dxa"/>
            <w:vAlign w:val="center"/>
          </w:tcPr>
          <w:p>
            <w:pPr>
              <w:topLinePunct/>
              <w:spacing w:line="440" w:lineRule="exact"/>
              <w:jc w:val="center"/>
              <w:rPr>
                <w:szCs w:val="21"/>
              </w:rPr>
            </w:pPr>
            <w:r>
              <w:rPr>
                <w:szCs w:val="21"/>
              </w:rPr>
              <w:t>承担的工作</w:t>
            </w:r>
          </w:p>
        </w:tc>
        <w:tc>
          <w:tcPr>
            <w:tcW w:w="6403" w:type="dxa"/>
          </w:tcPr>
          <w:p>
            <w:pPr>
              <w:topLinePunct/>
              <w:spacing w:line="440" w:lineRule="exact"/>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2119" w:type="dxa"/>
            <w:vAlign w:val="center"/>
          </w:tcPr>
          <w:p>
            <w:pPr>
              <w:topLinePunct/>
              <w:spacing w:line="440" w:lineRule="exact"/>
              <w:jc w:val="center"/>
              <w:rPr>
                <w:szCs w:val="21"/>
              </w:rPr>
            </w:pPr>
            <w:r>
              <w:rPr>
                <w:szCs w:val="21"/>
              </w:rPr>
              <w:t>工程质量</w:t>
            </w:r>
          </w:p>
        </w:tc>
        <w:tc>
          <w:tcPr>
            <w:tcW w:w="6403" w:type="dxa"/>
          </w:tcPr>
          <w:p>
            <w:pPr>
              <w:topLinePunct/>
              <w:spacing w:line="440" w:lineRule="exact"/>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2119" w:type="dxa"/>
            <w:vAlign w:val="center"/>
          </w:tcPr>
          <w:p>
            <w:pPr>
              <w:topLinePunct/>
              <w:spacing w:line="440" w:lineRule="exact"/>
              <w:jc w:val="center"/>
              <w:rPr>
                <w:szCs w:val="21"/>
              </w:rPr>
            </w:pPr>
            <w:r>
              <w:rPr>
                <w:szCs w:val="21"/>
              </w:rPr>
              <w:t>项目经理</w:t>
            </w:r>
          </w:p>
        </w:tc>
        <w:tc>
          <w:tcPr>
            <w:tcW w:w="6403" w:type="dxa"/>
          </w:tcPr>
          <w:p>
            <w:pPr>
              <w:topLinePunct/>
              <w:spacing w:line="440" w:lineRule="exact"/>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trPr>
        <w:tc>
          <w:tcPr>
            <w:tcW w:w="2119" w:type="dxa"/>
            <w:vAlign w:val="center"/>
          </w:tcPr>
          <w:p>
            <w:pPr>
              <w:topLinePunct/>
              <w:spacing w:line="440" w:lineRule="exact"/>
              <w:jc w:val="center"/>
              <w:rPr>
                <w:szCs w:val="21"/>
              </w:rPr>
            </w:pPr>
            <w:r>
              <w:rPr>
                <w:szCs w:val="21"/>
              </w:rPr>
              <w:t>技术负责人</w:t>
            </w:r>
          </w:p>
        </w:tc>
        <w:tc>
          <w:tcPr>
            <w:tcW w:w="6403" w:type="dxa"/>
          </w:tcPr>
          <w:p>
            <w:pPr>
              <w:topLinePunct/>
              <w:spacing w:line="440" w:lineRule="exact"/>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2119" w:type="dxa"/>
            <w:vAlign w:val="center"/>
          </w:tcPr>
          <w:p>
            <w:pPr>
              <w:topLinePunct/>
              <w:spacing w:line="440" w:lineRule="exact"/>
              <w:jc w:val="center"/>
              <w:rPr>
                <w:szCs w:val="21"/>
              </w:rPr>
            </w:pPr>
            <w:r>
              <w:rPr>
                <w:szCs w:val="21"/>
              </w:rPr>
              <w:t>项目描述</w:t>
            </w:r>
          </w:p>
        </w:tc>
        <w:tc>
          <w:tcPr>
            <w:tcW w:w="6403" w:type="dxa"/>
          </w:tcPr>
          <w:p>
            <w:pPr>
              <w:topLinePunct/>
              <w:spacing w:line="440" w:lineRule="exact"/>
              <w:rPr>
                <w:szCs w:val="21"/>
              </w:rPr>
            </w:pPr>
          </w:p>
          <w:p>
            <w:pPr>
              <w:topLinePunct/>
              <w:spacing w:line="440" w:lineRule="exact"/>
              <w:rPr>
                <w:szCs w:val="21"/>
              </w:rPr>
            </w:pPr>
          </w:p>
          <w:p>
            <w:pPr>
              <w:topLinePunct/>
              <w:spacing w:line="440" w:lineRule="exact"/>
              <w:rPr>
                <w:szCs w:val="21"/>
              </w:rPr>
            </w:pPr>
          </w:p>
          <w:p>
            <w:pPr>
              <w:topLinePunct/>
              <w:spacing w:line="440" w:lineRule="exact"/>
              <w:rPr>
                <w:szCs w:val="21"/>
              </w:rPr>
            </w:pPr>
          </w:p>
          <w:p>
            <w:pPr>
              <w:topLinePunct/>
              <w:spacing w:line="440" w:lineRule="exact"/>
              <w:rPr>
                <w:szCs w:val="21"/>
              </w:rPr>
            </w:pPr>
          </w:p>
          <w:p>
            <w:pPr>
              <w:topLinePunct/>
              <w:spacing w:line="440" w:lineRule="exact"/>
              <w:rPr>
                <w:szCs w:val="21"/>
              </w:rPr>
            </w:pPr>
          </w:p>
          <w:p>
            <w:pPr>
              <w:topLinePunct/>
              <w:spacing w:line="440" w:lineRule="exact"/>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2119" w:type="dxa"/>
            <w:vAlign w:val="center"/>
          </w:tcPr>
          <w:p>
            <w:pPr>
              <w:topLinePunct/>
              <w:spacing w:line="440" w:lineRule="exact"/>
              <w:jc w:val="center"/>
              <w:rPr>
                <w:szCs w:val="21"/>
              </w:rPr>
            </w:pPr>
            <w:r>
              <w:rPr>
                <w:szCs w:val="21"/>
              </w:rPr>
              <w:t>备注</w:t>
            </w:r>
          </w:p>
        </w:tc>
        <w:tc>
          <w:tcPr>
            <w:tcW w:w="6403" w:type="dxa"/>
          </w:tcPr>
          <w:p>
            <w:pPr>
              <w:topLinePunct/>
              <w:spacing w:line="440" w:lineRule="exact"/>
              <w:rPr>
                <w:szCs w:val="21"/>
              </w:rPr>
            </w:pPr>
          </w:p>
        </w:tc>
      </w:tr>
    </w:tbl>
    <w:p/>
    <w:p>
      <w:pPr>
        <w:widowControl/>
        <w:jc w:val="left"/>
      </w:pPr>
      <w:r>
        <w:br w:type="page"/>
      </w:r>
    </w:p>
    <w:p>
      <w:pPr>
        <w:pStyle w:val="6"/>
        <w:jc w:val="center"/>
        <w:rPr>
          <w:sz w:val="28"/>
        </w:rPr>
      </w:pPr>
      <w:bookmarkStart w:id="121" w:name="_Toc43371515"/>
      <w:bookmarkStart w:id="122" w:name="_Toc246996374"/>
      <w:bookmarkStart w:id="123" w:name="_Toc296602622"/>
      <w:bookmarkStart w:id="124" w:name="_Toc246997117"/>
      <w:bookmarkStart w:id="125" w:name="_Toc247085892"/>
      <w:r>
        <w:rPr>
          <w:rFonts w:hint="eastAsia"/>
          <w:sz w:val="28"/>
        </w:rPr>
        <w:t>（六）</w:t>
      </w:r>
      <w:r>
        <w:rPr>
          <w:sz w:val="28"/>
        </w:rPr>
        <w:t>其他</w:t>
      </w:r>
      <w:r>
        <w:rPr>
          <w:rFonts w:hint="eastAsia"/>
          <w:sz w:val="28"/>
        </w:rPr>
        <w:t>资格审查资</w:t>
      </w:r>
      <w:r>
        <w:rPr>
          <w:sz w:val="28"/>
        </w:rPr>
        <w:t>料</w:t>
      </w:r>
      <w:bookmarkEnd w:id="121"/>
      <w:bookmarkEnd w:id="122"/>
      <w:bookmarkEnd w:id="123"/>
      <w:bookmarkEnd w:id="124"/>
      <w:bookmarkEnd w:id="125"/>
    </w:p>
    <w:p>
      <w:pPr>
        <w:widowControl/>
        <w:spacing w:line="360" w:lineRule="auto"/>
        <w:jc w:val="left"/>
      </w:pPr>
      <w:r>
        <w:rPr>
          <w:rFonts w:hint="eastAsia"/>
        </w:rPr>
        <w:t>1、参加政府采购活动前三年内，在经营活动中没有重大违法记录声明（企业电子签章或盖章及法定代表人个人电子签章或盖章或签字，格式自拟）。</w:t>
      </w:r>
    </w:p>
    <w:p>
      <w:pPr>
        <w:widowControl/>
        <w:spacing w:line="360" w:lineRule="auto"/>
        <w:jc w:val="left"/>
      </w:pPr>
      <w:r>
        <w:rPr>
          <w:rFonts w:hint="eastAsia"/>
        </w:rPr>
        <w:t>2、“信用中国”网站和“中国政府采购网”【查询渠道：在“信用中国”网站中查询“失信被执行人”和“重大税收违法案件当事人名单”（http://www.creditchina.gov.cn/），在“中国政府采购网”网站中查询“政府采购严重违法失信行为记录名单”（www.ccgp.gov.cn）。；</w:t>
      </w:r>
    </w:p>
    <w:p>
      <w:pPr>
        <w:widowControl/>
        <w:spacing w:line="360" w:lineRule="auto"/>
        <w:jc w:val="left"/>
        <w:rPr>
          <w:b/>
        </w:rPr>
      </w:pPr>
      <w:r>
        <w:rPr>
          <w:rFonts w:hint="eastAsia"/>
          <w:b/>
        </w:rPr>
        <w:t>（磋商小组可以对所有投标</w:t>
      </w:r>
      <w:r>
        <w:rPr>
          <w:rFonts w:hint="eastAsia"/>
          <w:b/>
          <w:lang w:eastAsia="zh-CN"/>
        </w:rPr>
        <w:t>响应人</w:t>
      </w:r>
      <w:r>
        <w:rPr>
          <w:rFonts w:hint="eastAsia"/>
          <w:b/>
        </w:rPr>
        <w:t>信用记录进行查询，并依据查询结果进行评审。投标</w:t>
      </w:r>
      <w:r>
        <w:rPr>
          <w:rFonts w:hint="eastAsia"/>
          <w:b/>
          <w:lang w:eastAsia="zh-CN"/>
        </w:rPr>
        <w:t>响应人</w:t>
      </w:r>
      <w:r>
        <w:rPr>
          <w:rFonts w:hint="eastAsia"/>
          <w:b/>
        </w:rPr>
        <w:t>不良信用记录以开标后查询结果为准的，</w:t>
      </w:r>
      <w:r>
        <w:rPr>
          <w:rFonts w:hint="eastAsia"/>
          <w:b/>
          <w:lang w:eastAsia="zh-CN"/>
        </w:rPr>
        <w:t>响应人</w:t>
      </w:r>
      <w:r>
        <w:rPr>
          <w:rFonts w:hint="eastAsia"/>
          <w:b/>
        </w:rPr>
        <w:t>自行查询的证明材料将不作为评审依据。）</w:t>
      </w:r>
    </w:p>
    <w:p>
      <w:pPr>
        <w:widowControl/>
        <w:spacing w:line="360" w:lineRule="auto"/>
        <w:jc w:val="left"/>
      </w:pPr>
      <w:r>
        <w:rPr>
          <w:rFonts w:hint="eastAsia"/>
        </w:rPr>
        <w:t>3、项目经理无在建工程承诺书，</w:t>
      </w:r>
      <w:r>
        <w:rPr>
          <w:rFonts w:hint="eastAsia"/>
          <w:lang w:eastAsia="zh-CN"/>
        </w:rPr>
        <w:t>响应人</w:t>
      </w:r>
      <w:r>
        <w:rPr>
          <w:rFonts w:hint="eastAsia"/>
        </w:rPr>
        <w:t>没有处于被责令停业、投标资格被取、财产被接管、冻结、破产状态书面承诺；（企业电子签章或盖章及法定代表人个人电子签章或盖章或签字，格式自拟）；</w:t>
      </w:r>
    </w:p>
    <w:p>
      <w:pPr>
        <w:widowControl/>
        <w:spacing w:line="360" w:lineRule="auto"/>
        <w:jc w:val="left"/>
      </w:pPr>
      <w:r>
        <w:t>4</w:t>
      </w:r>
      <w:r>
        <w:rPr>
          <w:rFonts w:hint="eastAsia"/>
        </w:rPr>
        <w:t>、不拖欠农民工工资，保证按时发放的承诺（企业电子签章或盖章及法定代表人个人电子签章或盖章或签字，格式自拟）。</w:t>
      </w:r>
    </w:p>
    <w:p>
      <w:pPr>
        <w:widowControl/>
        <w:jc w:val="left"/>
      </w:pPr>
      <w:r>
        <w:br w:type="page"/>
      </w:r>
    </w:p>
    <w:p>
      <w:pPr>
        <w:pStyle w:val="4"/>
        <w:rPr>
          <w:rFonts w:asciiTheme="minorEastAsia" w:hAnsiTheme="minorEastAsia" w:eastAsiaTheme="minorEastAsia"/>
          <w:sz w:val="28"/>
        </w:rPr>
      </w:pPr>
      <w:bookmarkStart w:id="126" w:name="_Toc43371516"/>
      <w:r>
        <w:rPr>
          <w:rFonts w:hint="eastAsia" w:asciiTheme="minorEastAsia" w:hAnsiTheme="minorEastAsia" w:eastAsiaTheme="minorEastAsia"/>
          <w:sz w:val="28"/>
        </w:rPr>
        <w:t>九、售后服务方案及承诺</w:t>
      </w:r>
      <w:bookmarkEnd w:id="126"/>
    </w:p>
    <w:p>
      <w:pPr>
        <w:widowControl/>
        <w:jc w:val="left"/>
      </w:pPr>
      <w:r>
        <w:br w:type="page"/>
      </w:r>
    </w:p>
    <w:p>
      <w:pPr>
        <w:pStyle w:val="4"/>
        <w:rPr>
          <w:rFonts w:asciiTheme="minorEastAsia" w:hAnsiTheme="minorEastAsia" w:eastAsiaTheme="minorEastAsia"/>
          <w:sz w:val="28"/>
        </w:rPr>
      </w:pPr>
      <w:bookmarkStart w:id="127" w:name="_Toc43371521"/>
      <w:r>
        <w:rPr>
          <w:rFonts w:hint="eastAsia" w:asciiTheme="minorEastAsia" w:hAnsiTheme="minorEastAsia" w:eastAsiaTheme="minorEastAsia"/>
          <w:sz w:val="28"/>
        </w:rPr>
        <w:t>十、</w:t>
      </w:r>
      <w:r>
        <w:rPr>
          <w:rFonts w:hint="eastAsia" w:asciiTheme="minorEastAsia" w:hAnsiTheme="minorEastAsia" w:eastAsiaTheme="minorEastAsia"/>
          <w:sz w:val="28"/>
          <w:lang w:eastAsia="zh-CN"/>
        </w:rPr>
        <w:t>响应人</w:t>
      </w:r>
      <w:r>
        <w:rPr>
          <w:rFonts w:hint="eastAsia" w:asciiTheme="minorEastAsia" w:hAnsiTheme="minorEastAsia" w:eastAsiaTheme="minorEastAsia"/>
          <w:sz w:val="28"/>
        </w:rPr>
        <w:t>认为需要提供的其他资料</w:t>
      </w:r>
      <w:bookmarkEnd w:id="127"/>
    </w:p>
    <w:p>
      <w:pPr>
        <w:ind w:firstLine="420" w:firstLineChars="200"/>
      </w:pPr>
    </w:p>
    <w:sectPr>
      <w:headerReference r:id="rId3" w:type="default"/>
      <w:footerReference r:id="rId4" w:type="default"/>
      <w:pgSz w:w="11906" w:h="16838"/>
      <w:pgMar w:top="1440" w:right="1800" w:bottom="1440" w:left="1800" w:header="851" w:footer="992" w:gutter="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moder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monospace">
    <w:altName w:val="Segoe Print"/>
    <w:panose1 w:val="00000000000000000000"/>
    <w:charset w:val="00"/>
    <w:family w:val="auto"/>
    <w:pitch w:val="default"/>
    <w:sig w:usb0="00000000" w:usb1="00000000" w:usb2="00000000" w:usb3="00000000" w:csb0="00040001" w:csb1="00000000"/>
  </w:font>
  <w:font w:name="华文细黑">
    <w:altName w:val="微软雅黑"/>
    <w:panose1 w:val="02010600040101010101"/>
    <w:charset w:val="86"/>
    <w:family w:val="auto"/>
    <w:pitch w:val="default"/>
    <w:sig w:usb0="00000000" w:usb1="00000000" w:usb2="00000010" w:usb3="00000000" w:csb0="0004009F" w:csb1="00000000"/>
  </w:font>
  <w:font w:name="仿宋">
    <w:panose1 w:val="02010609060101010101"/>
    <w:charset w:val="86"/>
    <w:family w:val="modern"/>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Albertus">
    <w:altName w:val="Candara"/>
    <w:panose1 w:val="00000000000000000000"/>
    <w:charset w:val="00"/>
    <w:family w:val="swiss"/>
    <w:pitch w:val="default"/>
    <w:sig w:usb0="00000000" w:usb1="00000000" w:usb2="00000000" w:usb3="00000000" w:csb0="00000093" w:csb1="00000000"/>
  </w:font>
  <w:font w:name="TimesNewRomanPSMT">
    <w:altName w:val="宋体"/>
    <w:panose1 w:val="00000000000000000000"/>
    <w:charset w:val="00"/>
    <w:family w:val="roman"/>
    <w:pitch w:val="default"/>
    <w:sig w:usb0="00000000" w:usb1="00000000" w:usb2="00000010" w:usb3="00000000" w:csb0="00040001" w:csb1="00000000"/>
  </w:font>
  <w:font w:name="楷体">
    <w:panose1 w:val="02010609060101010101"/>
    <w:charset w:val="86"/>
    <w:family w:val="auto"/>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auto"/>
    <w:pitch w:val="default"/>
    <w:sig w:usb0="80000287" w:usb1="28CF3C50" w:usb2="00000016" w:usb3="00000000" w:csb0="0004001F" w:csb1="00000000"/>
  </w:font>
  <w:font w:name="Candara">
    <w:panose1 w:val="020E0502030303020204"/>
    <w:charset w:val="00"/>
    <w:family w:val="auto"/>
    <w:pitch w:val="default"/>
    <w:sig w:usb0="A00002EF" w:usb1="4000A44B"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jc w:val="center"/>
    </w:pPr>
    <w:r>
      <w:fldChar w:fldCharType="begin"/>
    </w:r>
    <w:r>
      <w:instrText xml:space="preserve">PAGE   \* MERGEFORMAT</w:instrText>
    </w:r>
    <w:r>
      <w:fldChar w:fldCharType="separate"/>
    </w:r>
    <w:r>
      <w:rPr>
        <w:lang w:val="zh-CN"/>
      </w:rPr>
      <w:t>6</w:t>
    </w:r>
    <w:r>
      <w:rPr>
        <w:lang w:val="zh-CN"/>
      </w:rPr>
      <w:fldChar w:fldCharType="end"/>
    </w:r>
  </w:p>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pBdr>
        <w:bottom w:val="thickThinSmallGap" w:color="622423" w:themeColor="accent2" w:themeShade="7F" w:sz="24" w:space="1"/>
      </w:pBdr>
      <w:jc w:val="left"/>
      <w:rPr>
        <w:rFonts w:asciiTheme="majorHAnsi" w:hAnsiTheme="majorHAnsi" w:eastAsiaTheme="majorEastAsia" w:cstheme="majorBidi"/>
        <w:bCs/>
        <w:szCs w:val="24"/>
      </w:rPr>
    </w:pPr>
    <w:r>
      <w:rPr>
        <w:rFonts w:hint="eastAsia" w:asciiTheme="majorHAnsi" w:hAnsiTheme="majorHAnsi" w:eastAsiaTheme="majorEastAsia" w:cstheme="majorBidi"/>
        <w:bCs/>
        <w:szCs w:val="24"/>
        <w:lang w:eastAsia="zh-CN"/>
      </w:rPr>
      <w:t xml:space="preserve">郑州市蔬菜研究所“郑州市蔬菜研究所 科研楼”供配电工程   </w:t>
    </w:r>
    <w:r>
      <w:rPr>
        <w:rFonts w:hint="eastAsia" w:asciiTheme="majorHAnsi" w:hAnsiTheme="majorHAnsi" w:eastAsiaTheme="majorEastAsia" w:cstheme="majorBidi"/>
        <w:bCs/>
        <w:szCs w:val="24"/>
      </w:rPr>
      <w:t xml:space="preserve"> </w:t>
    </w:r>
    <w:r>
      <w:rPr>
        <w:rFonts w:asciiTheme="majorHAnsi" w:hAnsiTheme="majorHAnsi" w:eastAsiaTheme="majorEastAsia" w:cstheme="majorBidi"/>
        <w:bCs/>
        <w:szCs w:val="24"/>
      </w:rPr>
      <w:t xml:space="preserve">                     </w:t>
    </w:r>
    <w:r>
      <w:rPr>
        <w:rFonts w:hint="eastAsia" w:asciiTheme="majorHAnsi" w:hAnsiTheme="majorHAnsi" w:eastAsiaTheme="majorEastAsia" w:cstheme="majorBidi"/>
        <w:bCs/>
        <w:szCs w:val="24"/>
      </w:rPr>
      <w:t>竞争性磋商文件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917D10E"/>
    <w:multiLevelType w:val="singleLevel"/>
    <w:tmpl w:val="9917D10E"/>
    <w:lvl w:ilvl="0" w:tentative="0">
      <w:start w:val="2"/>
      <w:numFmt w:val="decimal"/>
      <w:suff w:val="nothing"/>
      <w:lvlText w:val="%1、"/>
      <w:lvlJc w:val="left"/>
    </w:lvl>
  </w:abstractNum>
  <w:abstractNum w:abstractNumId="1">
    <w:nsid w:val="D008A114"/>
    <w:multiLevelType w:val="singleLevel"/>
    <w:tmpl w:val="D008A114"/>
    <w:lvl w:ilvl="0" w:tentative="0">
      <w:start w:val="3"/>
      <w:numFmt w:val="decimal"/>
      <w:suff w:val="nothing"/>
      <w:lvlText w:val="%1、"/>
      <w:lvlJc w:val="left"/>
    </w:lvl>
  </w:abstractNum>
  <w:abstractNum w:abstractNumId="2">
    <w:nsid w:val="00000008"/>
    <w:multiLevelType w:val="multilevel"/>
    <w:tmpl w:val="00000008"/>
    <w:lvl w:ilvl="0" w:tentative="0">
      <w:start w:val="1"/>
      <w:numFmt w:val="decimal"/>
      <w:lvlText w:val="%1."/>
      <w:lvlJc w:val="left"/>
      <w:pPr>
        <w:tabs>
          <w:tab w:val="left" w:pos="420"/>
        </w:tabs>
        <w:ind w:left="420" w:hanging="420"/>
      </w:pPr>
    </w:lvl>
    <w:lvl w:ilvl="1" w:tentative="0">
      <w:start w:val="1"/>
      <w:numFmt w:val="decimal"/>
      <w:lvlText w:val="%2)"/>
      <w:lvlJc w:val="left"/>
      <w:pPr>
        <w:tabs>
          <w:tab w:val="left" w:pos="780"/>
        </w:tabs>
        <w:ind w:left="780" w:hanging="360"/>
      </w:pPr>
      <w:rPr>
        <w:rFonts w:hint="default"/>
      </w:rPr>
    </w:lvl>
    <w:lvl w:ilvl="2" w:tentative="0">
      <w:start w:val="1"/>
      <w:numFmt w:val="lowerLetter"/>
      <w:lvlText w:val="%3."/>
      <w:lvlJc w:val="left"/>
      <w:pPr>
        <w:tabs>
          <w:tab w:val="left" w:pos="1200"/>
        </w:tabs>
        <w:ind w:left="1200" w:hanging="360"/>
      </w:pPr>
      <w:rPr>
        <w:rFonts w:hint="default"/>
      </w:rPr>
    </w:lvl>
    <w:lvl w:ilvl="3" w:tentative="0">
      <w:start w:val="1"/>
      <w:numFmt w:val="upperLetter"/>
      <w:lvlText w:val="%4．"/>
      <w:lvlJc w:val="left"/>
      <w:pPr>
        <w:tabs>
          <w:tab w:val="left" w:pos="1620"/>
        </w:tabs>
        <w:ind w:left="1620" w:hanging="360"/>
      </w:pPr>
      <w:rPr>
        <w:rFonts w:hint="default"/>
      </w:r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
    <w:nsid w:val="361A31DE"/>
    <w:multiLevelType w:val="multilevel"/>
    <w:tmpl w:val="361A31DE"/>
    <w:lvl w:ilvl="0" w:tentative="0">
      <w:start w:val="5"/>
      <w:numFmt w:val="japaneseCounting"/>
      <w:lvlText w:val="%1."/>
      <w:lvlJc w:val="left"/>
      <w:pPr>
        <w:ind w:left="360" w:hanging="360"/>
      </w:pPr>
      <w:rPr>
        <w:rFonts w:hint="default"/>
        <w:b/>
        <w:sz w:val="3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5036640E"/>
    <w:multiLevelType w:val="multilevel"/>
    <w:tmpl w:val="5036640E"/>
    <w:lvl w:ilvl="0" w:tentative="0">
      <w:start w:val="5"/>
      <w:numFmt w:val="japaneseCounting"/>
      <w:lvlText w:val="%1、"/>
      <w:lvlJc w:val="left"/>
      <w:pPr>
        <w:ind w:left="600" w:hanging="600"/>
      </w:pPr>
      <w:rPr>
        <w:rFonts w:hint="default" w:asciiTheme="minorHAnsi" w:hAnsiTheme="minorHAnsi" w:cstheme="minorBidi"/>
        <w:b/>
        <w:sz w:val="3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51027FC9"/>
    <w:multiLevelType w:val="multilevel"/>
    <w:tmpl w:val="51027FC9"/>
    <w:lvl w:ilvl="0" w:tentative="0">
      <w:start w:val="1"/>
      <w:numFmt w:val="decimalEnclosedCircle"/>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631D90BE"/>
    <w:multiLevelType w:val="singleLevel"/>
    <w:tmpl w:val="631D90BE"/>
    <w:lvl w:ilvl="0" w:tentative="0">
      <w:start w:val="5"/>
      <w:numFmt w:val="decimal"/>
      <w:suff w:val="nothing"/>
      <w:lvlText w:val="%1、"/>
      <w:lvlJc w:val="left"/>
    </w:lvl>
  </w:abstractNum>
  <w:num w:numId="1">
    <w:abstractNumId w:val="6"/>
  </w:num>
  <w:num w:numId="2">
    <w:abstractNumId w:val="0"/>
  </w:num>
  <w:num w:numId="3">
    <w:abstractNumId w:val="4"/>
  </w:num>
  <w:num w:numId="4">
    <w:abstractNumId w:val="3"/>
  </w:num>
  <w:num w:numId="5">
    <w:abstractNumId w:val="1"/>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4"/>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81599F"/>
    <w:rsid w:val="00001C72"/>
    <w:rsid w:val="00002044"/>
    <w:rsid w:val="000151A2"/>
    <w:rsid w:val="000214E8"/>
    <w:rsid w:val="00036538"/>
    <w:rsid w:val="00037E89"/>
    <w:rsid w:val="00040986"/>
    <w:rsid w:val="00040F42"/>
    <w:rsid w:val="00044CE9"/>
    <w:rsid w:val="00050BA7"/>
    <w:rsid w:val="000548D4"/>
    <w:rsid w:val="00054CD2"/>
    <w:rsid w:val="00056124"/>
    <w:rsid w:val="00065873"/>
    <w:rsid w:val="00066C87"/>
    <w:rsid w:val="000711FF"/>
    <w:rsid w:val="00074C0E"/>
    <w:rsid w:val="000831BE"/>
    <w:rsid w:val="00084A9D"/>
    <w:rsid w:val="00085945"/>
    <w:rsid w:val="00085CDA"/>
    <w:rsid w:val="0008668D"/>
    <w:rsid w:val="00091DA6"/>
    <w:rsid w:val="00092247"/>
    <w:rsid w:val="00092902"/>
    <w:rsid w:val="000952D0"/>
    <w:rsid w:val="00096F85"/>
    <w:rsid w:val="000A2BC6"/>
    <w:rsid w:val="000A37D6"/>
    <w:rsid w:val="000A5CE7"/>
    <w:rsid w:val="000A67C1"/>
    <w:rsid w:val="000B655F"/>
    <w:rsid w:val="000C5150"/>
    <w:rsid w:val="000C604F"/>
    <w:rsid w:val="000D5D6C"/>
    <w:rsid w:val="000D7032"/>
    <w:rsid w:val="000D7B70"/>
    <w:rsid w:val="000E1250"/>
    <w:rsid w:val="000F13B0"/>
    <w:rsid w:val="000F27E9"/>
    <w:rsid w:val="000F3B72"/>
    <w:rsid w:val="000F45AE"/>
    <w:rsid w:val="000F4FF1"/>
    <w:rsid w:val="000F6D08"/>
    <w:rsid w:val="001022C1"/>
    <w:rsid w:val="001041E1"/>
    <w:rsid w:val="00115411"/>
    <w:rsid w:val="00116525"/>
    <w:rsid w:val="00116D44"/>
    <w:rsid w:val="00117596"/>
    <w:rsid w:val="001176A5"/>
    <w:rsid w:val="0012352F"/>
    <w:rsid w:val="001251AE"/>
    <w:rsid w:val="00125727"/>
    <w:rsid w:val="0012605A"/>
    <w:rsid w:val="00132216"/>
    <w:rsid w:val="00132629"/>
    <w:rsid w:val="001338ED"/>
    <w:rsid w:val="001340FA"/>
    <w:rsid w:val="00135615"/>
    <w:rsid w:val="00135754"/>
    <w:rsid w:val="00135A31"/>
    <w:rsid w:val="00142B83"/>
    <w:rsid w:val="00144318"/>
    <w:rsid w:val="001444F0"/>
    <w:rsid w:val="00145CDC"/>
    <w:rsid w:val="0015154F"/>
    <w:rsid w:val="0015383F"/>
    <w:rsid w:val="00160943"/>
    <w:rsid w:val="00163FE7"/>
    <w:rsid w:val="0016670A"/>
    <w:rsid w:val="00177715"/>
    <w:rsid w:val="001822E7"/>
    <w:rsid w:val="001829E5"/>
    <w:rsid w:val="00186AE9"/>
    <w:rsid w:val="00191595"/>
    <w:rsid w:val="00193529"/>
    <w:rsid w:val="00195C2D"/>
    <w:rsid w:val="001A0210"/>
    <w:rsid w:val="001A1D93"/>
    <w:rsid w:val="001A71BC"/>
    <w:rsid w:val="001A7654"/>
    <w:rsid w:val="001B2147"/>
    <w:rsid w:val="001B2939"/>
    <w:rsid w:val="001C15D9"/>
    <w:rsid w:val="001C7148"/>
    <w:rsid w:val="001D630C"/>
    <w:rsid w:val="001E0479"/>
    <w:rsid w:val="001E283A"/>
    <w:rsid w:val="001E4D23"/>
    <w:rsid w:val="001E61AA"/>
    <w:rsid w:val="001E7E62"/>
    <w:rsid w:val="001F0B9F"/>
    <w:rsid w:val="001F53D0"/>
    <w:rsid w:val="001F693C"/>
    <w:rsid w:val="0020427B"/>
    <w:rsid w:val="00204B13"/>
    <w:rsid w:val="00204EB6"/>
    <w:rsid w:val="002055F0"/>
    <w:rsid w:val="00207E26"/>
    <w:rsid w:val="002102BA"/>
    <w:rsid w:val="002125CA"/>
    <w:rsid w:val="002208D1"/>
    <w:rsid w:val="00220B18"/>
    <w:rsid w:val="00222A20"/>
    <w:rsid w:val="00223809"/>
    <w:rsid w:val="00226442"/>
    <w:rsid w:val="00234774"/>
    <w:rsid w:val="002416D9"/>
    <w:rsid w:val="002434AE"/>
    <w:rsid w:val="002458C1"/>
    <w:rsid w:val="002471CD"/>
    <w:rsid w:val="002518FA"/>
    <w:rsid w:val="00261191"/>
    <w:rsid w:val="0026498B"/>
    <w:rsid w:val="002668BE"/>
    <w:rsid w:val="0027418D"/>
    <w:rsid w:val="00274EDD"/>
    <w:rsid w:val="0027768A"/>
    <w:rsid w:val="00287700"/>
    <w:rsid w:val="0029257B"/>
    <w:rsid w:val="00293AE1"/>
    <w:rsid w:val="00295824"/>
    <w:rsid w:val="00295DC0"/>
    <w:rsid w:val="002A140F"/>
    <w:rsid w:val="002A6DDA"/>
    <w:rsid w:val="002B5C0B"/>
    <w:rsid w:val="002C33F8"/>
    <w:rsid w:val="002C3E18"/>
    <w:rsid w:val="002C5466"/>
    <w:rsid w:val="002D7BF0"/>
    <w:rsid w:val="002E0316"/>
    <w:rsid w:val="002E199C"/>
    <w:rsid w:val="002E56F9"/>
    <w:rsid w:val="002F3E8C"/>
    <w:rsid w:val="002F45A1"/>
    <w:rsid w:val="002F6938"/>
    <w:rsid w:val="003003EE"/>
    <w:rsid w:val="003027A0"/>
    <w:rsid w:val="003045C7"/>
    <w:rsid w:val="00312AA2"/>
    <w:rsid w:val="003179A5"/>
    <w:rsid w:val="00320B1B"/>
    <w:rsid w:val="00321C1F"/>
    <w:rsid w:val="00322717"/>
    <w:rsid w:val="00324580"/>
    <w:rsid w:val="0033039A"/>
    <w:rsid w:val="003303B6"/>
    <w:rsid w:val="00332FC3"/>
    <w:rsid w:val="003336DD"/>
    <w:rsid w:val="00333A9D"/>
    <w:rsid w:val="00350F73"/>
    <w:rsid w:val="003512A0"/>
    <w:rsid w:val="00364F02"/>
    <w:rsid w:val="003654B6"/>
    <w:rsid w:val="00373B09"/>
    <w:rsid w:val="00377325"/>
    <w:rsid w:val="00384B7E"/>
    <w:rsid w:val="00387861"/>
    <w:rsid w:val="00392AB3"/>
    <w:rsid w:val="00394FAF"/>
    <w:rsid w:val="00397518"/>
    <w:rsid w:val="00397CD9"/>
    <w:rsid w:val="003A1B78"/>
    <w:rsid w:val="003A25C0"/>
    <w:rsid w:val="003A2868"/>
    <w:rsid w:val="003A2ED8"/>
    <w:rsid w:val="003A31F7"/>
    <w:rsid w:val="003A52BB"/>
    <w:rsid w:val="003B37A0"/>
    <w:rsid w:val="003B7385"/>
    <w:rsid w:val="003C09D9"/>
    <w:rsid w:val="003C2B1B"/>
    <w:rsid w:val="003C373C"/>
    <w:rsid w:val="003C4ABC"/>
    <w:rsid w:val="003C62B3"/>
    <w:rsid w:val="003C71C3"/>
    <w:rsid w:val="003C7395"/>
    <w:rsid w:val="003D0265"/>
    <w:rsid w:val="003D17FB"/>
    <w:rsid w:val="003D2841"/>
    <w:rsid w:val="003D37C6"/>
    <w:rsid w:val="003D4283"/>
    <w:rsid w:val="003E1374"/>
    <w:rsid w:val="003E2474"/>
    <w:rsid w:val="003E6767"/>
    <w:rsid w:val="003E6B52"/>
    <w:rsid w:val="003F1FE7"/>
    <w:rsid w:val="003F58AE"/>
    <w:rsid w:val="00401CD7"/>
    <w:rsid w:val="00403B64"/>
    <w:rsid w:val="00404838"/>
    <w:rsid w:val="00404B32"/>
    <w:rsid w:val="004056EA"/>
    <w:rsid w:val="00406B62"/>
    <w:rsid w:val="0042007D"/>
    <w:rsid w:val="004241EF"/>
    <w:rsid w:val="0042548A"/>
    <w:rsid w:val="00432497"/>
    <w:rsid w:val="00433407"/>
    <w:rsid w:val="00434F77"/>
    <w:rsid w:val="00435E76"/>
    <w:rsid w:val="00436874"/>
    <w:rsid w:val="004406C8"/>
    <w:rsid w:val="0044143E"/>
    <w:rsid w:val="004515DC"/>
    <w:rsid w:val="00452E6C"/>
    <w:rsid w:val="004605EF"/>
    <w:rsid w:val="0046092D"/>
    <w:rsid w:val="00467C8E"/>
    <w:rsid w:val="0047487A"/>
    <w:rsid w:val="00480C6F"/>
    <w:rsid w:val="00490529"/>
    <w:rsid w:val="004A3D74"/>
    <w:rsid w:val="004A4345"/>
    <w:rsid w:val="004A65A1"/>
    <w:rsid w:val="004A6B16"/>
    <w:rsid w:val="004B088D"/>
    <w:rsid w:val="004B12B3"/>
    <w:rsid w:val="004B1786"/>
    <w:rsid w:val="004B68A2"/>
    <w:rsid w:val="004C012B"/>
    <w:rsid w:val="004C0F24"/>
    <w:rsid w:val="004C1E5F"/>
    <w:rsid w:val="004C25ED"/>
    <w:rsid w:val="004C41AD"/>
    <w:rsid w:val="004C60BC"/>
    <w:rsid w:val="004D0728"/>
    <w:rsid w:val="004D0C3B"/>
    <w:rsid w:val="004D1707"/>
    <w:rsid w:val="004D2963"/>
    <w:rsid w:val="004D4AB1"/>
    <w:rsid w:val="004E4A97"/>
    <w:rsid w:val="004E5077"/>
    <w:rsid w:val="004E708B"/>
    <w:rsid w:val="004F1460"/>
    <w:rsid w:val="004F4F06"/>
    <w:rsid w:val="0050103B"/>
    <w:rsid w:val="0050278A"/>
    <w:rsid w:val="00506ABD"/>
    <w:rsid w:val="00507D7C"/>
    <w:rsid w:val="00510E1A"/>
    <w:rsid w:val="00515B2E"/>
    <w:rsid w:val="00526349"/>
    <w:rsid w:val="00536684"/>
    <w:rsid w:val="005541FB"/>
    <w:rsid w:val="00556FE0"/>
    <w:rsid w:val="0056512A"/>
    <w:rsid w:val="00576AB7"/>
    <w:rsid w:val="0057773C"/>
    <w:rsid w:val="005807C7"/>
    <w:rsid w:val="00580F69"/>
    <w:rsid w:val="00585D87"/>
    <w:rsid w:val="00590B5B"/>
    <w:rsid w:val="00594CC6"/>
    <w:rsid w:val="0059522F"/>
    <w:rsid w:val="005A32F7"/>
    <w:rsid w:val="005A5336"/>
    <w:rsid w:val="005A6EFE"/>
    <w:rsid w:val="005A7530"/>
    <w:rsid w:val="005A7D6A"/>
    <w:rsid w:val="005B19DF"/>
    <w:rsid w:val="005B7127"/>
    <w:rsid w:val="005B779A"/>
    <w:rsid w:val="005C5A68"/>
    <w:rsid w:val="005D1A46"/>
    <w:rsid w:val="005E01F1"/>
    <w:rsid w:val="005E1A3D"/>
    <w:rsid w:val="005E1B88"/>
    <w:rsid w:val="005E2CB9"/>
    <w:rsid w:val="005E340C"/>
    <w:rsid w:val="005E78A9"/>
    <w:rsid w:val="005F12FE"/>
    <w:rsid w:val="005F223F"/>
    <w:rsid w:val="005F3CB4"/>
    <w:rsid w:val="005F3EED"/>
    <w:rsid w:val="005F4D36"/>
    <w:rsid w:val="0060100C"/>
    <w:rsid w:val="0060340F"/>
    <w:rsid w:val="00605FC6"/>
    <w:rsid w:val="006119FD"/>
    <w:rsid w:val="00612A59"/>
    <w:rsid w:val="00614053"/>
    <w:rsid w:val="006146D6"/>
    <w:rsid w:val="006159EA"/>
    <w:rsid w:val="006164C4"/>
    <w:rsid w:val="00621F66"/>
    <w:rsid w:val="00622D37"/>
    <w:rsid w:val="0062609C"/>
    <w:rsid w:val="006266C7"/>
    <w:rsid w:val="00626769"/>
    <w:rsid w:val="00633DF9"/>
    <w:rsid w:val="00641A33"/>
    <w:rsid w:val="00653EE9"/>
    <w:rsid w:val="00661235"/>
    <w:rsid w:val="006656FE"/>
    <w:rsid w:val="006704B8"/>
    <w:rsid w:val="0067262B"/>
    <w:rsid w:val="00673A80"/>
    <w:rsid w:val="00676F31"/>
    <w:rsid w:val="00677E4C"/>
    <w:rsid w:val="00680C20"/>
    <w:rsid w:val="00685334"/>
    <w:rsid w:val="006856CD"/>
    <w:rsid w:val="00693F36"/>
    <w:rsid w:val="006958A5"/>
    <w:rsid w:val="00695A17"/>
    <w:rsid w:val="006A3920"/>
    <w:rsid w:val="006A6C07"/>
    <w:rsid w:val="006A7226"/>
    <w:rsid w:val="006A78FC"/>
    <w:rsid w:val="006B2113"/>
    <w:rsid w:val="006B2117"/>
    <w:rsid w:val="006B4174"/>
    <w:rsid w:val="006C061C"/>
    <w:rsid w:val="006C6343"/>
    <w:rsid w:val="006C727A"/>
    <w:rsid w:val="006D2E04"/>
    <w:rsid w:val="006D3ADC"/>
    <w:rsid w:val="006D6BB0"/>
    <w:rsid w:val="006D725D"/>
    <w:rsid w:val="006E0BC5"/>
    <w:rsid w:val="006F05FB"/>
    <w:rsid w:val="007009ED"/>
    <w:rsid w:val="00705A6A"/>
    <w:rsid w:val="00707176"/>
    <w:rsid w:val="00711BEA"/>
    <w:rsid w:val="00711EC4"/>
    <w:rsid w:val="00720F45"/>
    <w:rsid w:val="00723248"/>
    <w:rsid w:val="007244AA"/>
    <w:rsid w:val="00726002"/>
    <w:rsid w:val="00730BB8"/>
    <w:rsid w:val="00730C7C"/>
    <w:rsid w:val="00735A26"/>
    <w:rsid w:val="007425C3"/>
    <w:rsid w:val="0074279F"/>
    <w:rsid w:val="00744C5E"/>
    <w:rsid w:val="00746259"/>
    <w:rsid w:val="007507E6"/>
    <w:rsid w:val="007553DF"/>
    <w:rsid w:val="00755FF9"/>
    <w:rsid w:val="00756944"/>
    <w:rsid w:val="00760510"/>
    <w:rsid w:val="007662B0"/>
    <w:rsid w:val="0077264D"/>
    <w:rsid w:val="007749B1"/>
    <w:rsid w:val="00776232"/>
    <w:rsid w:val="0077783A"/>
    <w:rsid w:val="007818B1"/>
    <w:rsid w:val="00782BBA"/>
    <w:rsid w:val="007852A8"/>
    <w:rsid w:val="0078636B"/>
    <w:rsid w:val="0079103F"/>
    <w:rsid w:val="00794105"/>
    <w:rsid w:val="00796C95"/>
    <w:rsid w:val="0079780C"/>
    <w:rsid w:val="007A1615"/>
    <w:rsid w:val="007A4F6F"/>
    <w:rsid w:val="007C0565"/>
    <w:rsid w:val="007C186D"/>
    <w:rsid w:val="007C3BA3"/>
    <w:rsid w:val="007D066E"/>
    <w:rsid w:val="007D0E5A"/>
    <w:rsid w:val="007D3D74"/>
    <w:rsid w:val="007D4464"/>
    <w:rsid w:val="007D577F"/>
    <w:rsid w:val="007D5F04"/>
    <w:rsid w:val="007E14A0"/>
    <w:rsid w:val="007E3A87"/>
    <w:rsid w:val="007E461B"/>
    <w:rsid w:val="007E5D81"/>
    <w:rsid w:val="007F1B7E"/>
    <w:rsid w:val="007F25E2"/>
    <w:rsid w:val="007F65BB"/>
    <w:rsid w:val="00802CE8"/>
    <w:rsid w:val="0081116B"/>
    <w:rsid w:val="008120B2"/>
    <w:rsid w:val="0081599F"/>
    <w:rsid w:val="00825D4B"/>
    <w:rsid w:val="00830B26"/>
    <w:rsid w:val="00834D01"/>
    <w:rsid w:val="00835714"/>
    <w:rsid w:val="00836E9B"/>
    <w:rsid w:val="008375D6"/>
    <w:rsid w:val="00847210"/>
    <w:rsid w:val="00847B1A"/>
    <w:rsid w:val="00850703"/>
    <w:rsid w:val="00850BE4"/>
    <w:rsid w:val="00854916"/>
    <w:rsid w:val="00855C31"/>
    <w:rsid w:val="00856D0F"/>
    <w:rsid w:val="00865265"/>
    <w:rsid w:val="00870711"/>
    <w:rsid w:val="0087137A"/>
    <w:rsid w:val="00873DA6"/>
    <w:rsid w:val="008816B2"/>
    <w:rsid w:val="008819B5"/>
    <w:rsid w:val="008906F6"/>
    <w:rsid w:val="008A2EB4"/>
    <w:rsid w:val="008A4807"/>
    <w:rsid w:val="008C2776"/>
    <w:rsid w:val="008C625A"/>
    <w:rsid w:val="008C76A5"/>
    <w:rsid w:val="008D109D"/>
    <w:rsid w:val="008D4643"/>
    <w:rsid w:val="008E1C3D"/>
    <w:rsid w:val="008E3A67"/>
    <w:rsid w:val="008E5819"/>
    <w:rsid w:val="008E72B0"/>
    <w:rsid w:val="008F21E2"/>
    <w:rsid w:val="009005D5"/>
    <w:rsid w:val="00912113"/>
    <w:rsid w:val="00913197"/>
    <w:rsid w:val="009149FC"/>
    <w:rsid w:val="009162EA"/>
    <w:rsid w:val="0092787B"/>
    <w:rsid w:val="009307F7"/>
    <w:rsid w:val="0093291D"/>
    <w:rsid w:val="009331E8"/>
    <w:rsid w:val="009336E3"/>
    <w:rsid w:val="009367C7"/>
    <w:rsid w:val="00943E4B"/>
    <w:rsid w:val="00946FD8"/>
    <w:rsid w:val="009526A6"/>
    <w:rsid w:val="00954D62"/>
    <w:rsid w:val="00955273"/>
    <w:rsid w:val="009559BC"/>
    <w:rsid w:val="00955EDB"/>
    <w:rsid w:val="009571C5"/>
    <w:rsid w:val="009604DB"/>
    <w:rsid w:val="0096144E"/>
    <w:rsid w:val="00961D26"/>
    <w:rsid w:val="0096692C"/>
    <w:rsid w:val="009676B3"/>
    <w:rsid w:val="00983040"/>
    <w:rsid w:val="00983957"/>
    <w:rsid w:val="00985860"/>
    <w:rsid w:val="00993203"/>
    <w:rsid w:val="00993925"/>
    <w:rsid w:val="00993A3B"/>
    <w:rsid w:val="00994A5E"/>
    <w:rsid w:val="00995388"/>
    <w:rsid w:val="00996015"/>
    <w:rsid w:val="009965BB"/>
    <w:rsid w:val="009A0D9C"/>
    <w:rsid w:val="009A2F8E"/>
    <w:rsid w:val="009A422A"/>
    <w:rsid w:val="009A58A4"/>
    <w:rsid w:val="009B0CCB"/>
    <w:rsid w:val="009B0D79"/>
    <w:rsid w:val="009B2785"/>
    <w:rsid w:val="009B4867"/>
    <w:rsid w:val="009B4BD7"/>
    <w:rsid w:val="009B592F"/>
    <w:rsid w:val="009C1A5C"/>
    <w:rsid w:val="009C44C7"/>
    <w:rsid w:val="009C70A9"/>
    <w:rsid w:val="009D10DD"/>
    <w:rsid w:val="009D1A8A"/>
    <w:rsid w:val="009D7339"/>
    <w:rsid w:val="009E043B"/>
    <w:rsid w:val="00A0263B"/>
    <w:rsid w:val="00A038A0"/>
    <w:rsid w:val="00A06F66"/>
    <w:rsid w:val="00A10375"/>
    <w:rsid w:val="00A13D01"/>
    <w:rsid w:val="00A239D2"/>
    <w:rsid w:val="00A23E90"/>
    <w:rsid w:val="00A26992"/>
    <w:rsid w:val="00A306B5"/>
    <w:rsid w:val="00A316B6"/>
    <w:rsid w:val="00A32F50"/>
    <w:rsid w:val="00A33D90"/>
    <w:rsid w:val="00A3423C"/>
    <w:rsid w:val="00A3690C"/>
    <w:rsid w:val="00A3740E"/>
    <w:rsid w:val="00A44A54"/>
    <w:rsid w:val="00A45BE7"/>
    <w:rsid w:val="00A547CE"/>
    <w:rsid w:val="00A54A97"/>
    <w:rsid w:val="00A624B7"/>
    <w:rsid w:val="00A6262D"/>
    <w:rsid w:val="00A6294B"/>
    <w:rsid w:val="00A6673C"/>
    <w:rsid w:val="00A73693"/>
    <w:rsid w:val="00A73DA7"/>
    <w:rsid w:val="00A817E8"/>
    <w:rsid w:val="00A83D31"/>
    <w:rsid w:val="00A867EF"/>
    <w:rsid w:val="00A86E01"/>
    <w:rsid w:val="00A875AD"/>
    <w:rsid w:val="00A96DBA"/>
    <w:rsid w:val="00AA43CD"/>
    <w:rsid w:val="00AA5055"/>
    <w:rsid w:val="00AA6310"/>
    <w:rsid w:val="00AB353D"/>
    <w:rsid w:val="00AC0F0E"/>
    <w:rsid w:val="00AC260B"/>
    <w:rsid w:val="00AC34B8"/>
    <w:rsid w:val="00AC5286"/>
    <w:rsid w:val="00AC5BC5"/>
    <w:rsid w:val="00AC774D"/>
    <w:rsid w:val="00AD0FC3"/>
    <w:rsid w:val="00AD46DA"/>
    <w:rsid w:val="00AD7578"/>
    <w:rsid w:val="00AE27E3"/>
    <w:rsid w:val="00AE6F6B"/>
    <w:rsid w:val="00AF2979"/>
    <w:rsid w:val="00AF6B9A"/>
    <w:rsid w:val="00B0447B"/>
    <w:rsid w:val="00B110AB"/>
    <w:rsid w:val="00B16AFC"/>
    <w:rsid w:val="00B17773"/>
    <w:rsid w:val="00B17A75"/>
    <w:rsid w:val="00B255B6"/>
    <w:rsid w:val="00B309A3"/>
    <w:rsid w:val="00B3169E"/>
    <w:rsid w:val="00B33EB8"/>
    <w:rsid w:val="00B34158"/>
    <w:rsid w:val="00B4062F"/>
    <w:rsid w:val="00B40B0E"/>
    <w:rsid w:val="00B4611A"/>
    <w:rsid w:val="00B46504"/>
    <w:rsid w:val="00B46C59"/>
    <w:rsid w:val="00B538AE"/>
    <w:rsid w:val="00B53CF3"/>
    <w:rsid w:val="00B54C34"/>
    <w:rsid w:val="00B63035"/>
    <w:rsid w:val="00B6328F"/>
    <w:rsid w:val="00B7236A"/>
    <w:rsid w:val="00B7260C"/>
    <w:rsid w:val="00B75689"/>
    <w:rsid w:val="00B831B6"/>
    <w:rsid w:val="00B86B54"/>
    <w:rsid w:val="00B86C04"/>
    <w:rsid w:val="00B92507"/>
    <w:rsid w:val="00B93233"/>
    <w:rsid w:val="00B94222"/>
    <w:rsid w:val="00B94C7D"/>
    <w:rsid w:val="00B95C42"/>
    <w:rsid w:val="00BA4006"/>
    <w:rsid w:val="00BA4007"/>
    <w:rsid w:val="00BA6249"/>
    <w:rsid w:val="00BB2935"/>
    <w:rsid w:val="00BB6D95"/>
    <w:rsid w:val="00BC3261"/>
    <w:rsid w:val="00BC3D74"/>
    <w:rsid w:val="00BC5586"/>
    <w:rsid w:val="00BD17F5"/>
    <w:rsid w:val="00BD70BD"/>
    <w:rsid w:val="00BD73F5"/>
    <w:rsid w:val="00BD7AA7"/>
    <w:rsid w:val="00BE1DEF"/>
    <w:rsid w:val="00BE3C34"/>
    <w:rsid w:val="00BE5BF8"/>
    <w:rsid w:val="00BF2A50"/>
    <w:rsid w:val="00BF2B37"/>
    <w:rsid w:val="00BF54E1"/>
    <w:rsid w:val="00BF5DCE"/>
    <w:rsid w:val="00BF72A6"/>
    <w:rsid w:val="00C0063B"/>
    <w:rsid w:val="00C05690"/>
    <w:rsid w:val="00C071EF"/>
    <w:rsid w:val="00C10195"/>
    <w:rsid w:val="00C106A2"/>
    <w:rsid w:val="00C1171C"/>
    <w:rsid w:val="00C16CA5"/>
    <w:rsid w:val="00C20CE4"/>
    <w:rsid w:val="00C2386B"/>
    <w:rsid w:val="00C24CC3"/>
    <w:rsid w:val="00C2504A"/>
    <w:rsid w:val="00C27914"/>
    <w:rsid w:val="00C32B6B"/>
    <w:rsid w:val="00C33D57"/>
    <w:rsid w:val="00C340B9"/>
    <w:rsid w:val="00C37F84"/>
    <w:rsid w:val="00C416EB"/>
    <w:rsid w:val="00C42065"/>
    <w:rsid w:val="00C433E2"/>
    <w:rsid w:val="00C562B4"/>
    <w:rsid w:val="00C57244"/>
    <w:rsid w:val="00C57ABB"/>
    <w:rsid w:val="00C6166F"/>
    <w:rsid w:val="00C64CA4"/>
    <w:rsid w:val="00C724C6"/>
    <w:rsid w:val="00C724EC"/>
    <w:rsid w:val="00C742DA"/>
    <w:rsid w:val="00C800F9"/>
    <w:rsid w:val="00C80A2D"/>
    <w:rsid w:val="00C81BB3"/>
    <w:rsid w:val="00C81F78"/>
    <w:rsid w:val="00C84600"/>
    <w:rsid w:val="00C8588A"/>
    <w:rsid w:val="00C85E44"/>
    <w:rsid w:val="00C90642"/>
    <w:rsid w:val="00CA1EFB"/>
    <w:rsid w:val="00CA6FAE"/>
    <w:rsid w:val="00CB0B8C"/>
    <w:rsid w:val="00CB207D"/>
    <w:rsid w:val="00CB2176"/>
    <w:rsid w:val="00CB35BC"/>
    <w:rsid w:val="00CB5EDE"/>
    <w:rsid w:val="00CB7D04"/>
    <w:rsid w:val="00CD5F9F"/>
    <w:rsid w:val="00CD7869"/>
    <w:rsid w:val="00CE0517"/>
    <w:rsid w:val="00CE242E"/>
    <w:rsid w:val="00CF2B3B"/>
    <w:rsid w:val="00D01372"/>
    <w:rsid w:val="00D0139C"/>
    <w:rsid w:val="00D01F2D"/>
    <w:rsid w:val="00D036EA"/>
    <w:rsid w:val="00D03CDD"/>
    <w:rsid w:val="00D0559D"/>
    <w:rsid w:val="00D05BFD"/>
    <w:rsid w:val="00D06B35"/>
    <w:rsid w:val="00D07F44"/>
    <w:rsid w:val="00D15620"/>
    <w:rsid w:val="00D172C8"/>
    <w:rsid w:val="00D1767A"/>
    <w:rsid w:val="00D24107"/>
    <w:rsid w:val="00D253EC"/>
    <w:rsid w:val="00D27B05"/>
    <w:rsid w:val="00D36E36"/>
    <w:rsid w:val="00D42BEE"/>
    <w:rsid w:val="00D515D1"/>
    <w:rsid w:val="00D567C1"/>
    <w:rsid w:val="00D60D30"/>
    <w:rsid w:val="00D65ACA"/>
    <w:rsid w:val="00D65BF1"/>
    <w:rsid w:val="00D73D3A"/>
    <w:rsid w:val="00D815BC"/>
    <w:rsid w:val="00D81F40"/>
    <w:rsid w:val="00D872BB"/>
    <w:rsid w:val="00D90449"/>
    <w:rsid w:val="00D94A1D"/>
    <w:rsid w:val="00DA1F1F"/>
    <w:rsid w:val="00DA4BC2"/>
    <w:rsid w:val="00DA602F"/>
    <w:rsid w:val="00DA732B"/>
    <w:rsid w:val="00DA75F8"/>
    <w:rsid w:val="00DB0D1C"/>
    <w:rsid w:val="00DB1FA2"/>
    <w:rsid w:val="00DB22FC"/>
    <w:rsid w:val="00DC07DE"/>
    <w:rsid w:val="00DC4B5E"/>
    <w:rsid w:val="00DC5923"/>
    <w:rsid w:val="00DC5E02"/>
    <w:rsid w:val="00DC6127"/>
    <w:rsid w:val="00DC6508"/>
    <w:rsid w:val="00DD08B6"/>
    <w:rsid w:val="00DD2298"/>
    <w:rsid w:val="00DD3973"/>
    <w:rsid w:val="00DD39A8"/>
    <w:rsid w:val="00DD5920"/>
    <w:rsid w:val="00DD6DF5"/>
    <w:rsid w:val="00DE089D"/>
    <w:rsid w:val="00DF4201"/>
    <w:rsid w:val="00DF73D6"/>
    <w:rsid w:val="00DF751A"/>
    <w:rsid w:val="00E00F39"/>
    <w:rsid w:val="00E01C69"/>
    <w:rsid w:val="00E13175"/>
    <w:rsid w:val="00E17450"/>
    <w:rsid w:val="00E213EE"/>
    <w:rsid w:val="00E22235"/>
    <w:rsid w:val="00E23CD7"/>
    <w:rsid w:val="00E25B2C"/>
    <w:rsid w:val="00E30D00"/>
    <w:rsid w:val="00E45C17"/>
    <w:rsid w:val="00E50173"/>
    <w:rsid w:val="00E562D2"/>
    <w:rsid w:val="00E61898"/>
    <w:rsid w:val="00E73A30"/>
    <w:rsid w:val="00E762F5"/>
    <w:rsid w:val="00E76EA3"/>
    <w:rsid w:val="00E77300"/>
    <w:rsid w:val="00E826BE"/>
    <w:rsid w:val="00E83453"/>
    <w:rsid w:val="00E8443C"/>
    <w:rsid w:val="00E8482D"/>
    <w:rsid w:val="00E90138"/>
    <w:rsid w:val="00E97A3A"/>
    <w:rsid w:val="00EA0028"/>
    <w:rsid w:val="00EA20D5"/>
    <w:rsid w:val="00EA22B3"/>
    <w:rsid w:val="00EA3795"/>
    <w:rsid w:val="00EA4AE4"/>
    <w:rsid w:val="00EA66F7"/>
    <w:rsid w:val="00EB2D43"/>
    <w:rsid w:val="00EB62E2"/>
    <w:rsid w:val="00EB6B5B"/>
    <w:rsid w:val="00EC2202"/>
    <w:rsid w:val="00ED0CB4"/>
    <w:rsid w:val="00ED4E4B"/>
    <w:rsid w:val="00EE2080"/>
    <w:rsid w:val="00EE475D"/>
    <w:rsid w:val="00EF0FA1"/>
    <w:rsid w:val="00EF4BDC"/>
    <w:rsid w:val="00EF56DA"/>
    <w:rsid w:val="00F0281F"/>
    <w:rsid w:val="00F0720F"/>
    <w:rsid w:val="00F07C13"/>
    <w:rsid w:val="00F166EA"/>
    <w:rsid w:val="00F26304"/>
    <w:rsid w:val="00F27C4F"/>
    <w:rsid w:val="00F338AA"/>
    <w:rsid w:val="00F34561"/>
    <w:rsid w:val="00F34AA7"/>
    <w:rsid w:val="00F364F2"/>
    <w:rsid w:val="00F37D1A"/>
    <w:rsid w:val="00F40CCD"/>
    <w:rsid w:val="00F413DB"/>
    <w:rsid w:val="00F46C9D"/>
    <w:rsid w:val="00F47564"/>
    <w:rsid w:val="00F54BC7"/>
    <w:rsid w:val="00F54C26"/>
    <w:rsid w:val="00F558CF"/>
    <w:rsid w:val="00F60A4B"/>
    <w:rsid w:val="00F71BE2"/>
    <w:rsid w:val="00F72B53"/>
    <w:rsid w:val="00F73762"/>
    <w:rsid w:val="00F74EA0"/>
    <w:rsid w:val="00F761CC"/>
    <w:rsid w:val="00F763C0"/>
    <w:rsid w:val="00F81F05"/>
    <w:rsid w:val="00F8243A"/>
    <w:rsid w:val="00F8296D"/>
    <w:rsid w:val="00F83D24"/>
    <w:rsid w:val="00F866B5"/>
    <w:rsid w:val="00F937BF"/>
    <w:rsid w:val="00F95B76"/>
    <w:rsid w:val="00FA0807"/>
    <w:rsid w:val="00FA2B6B"/>
    <w:rsid w:val="00FA3FFC"/>
    <w:rsid w:val="00FA4FDB"/>
    <w:rsid w:val="00FA697C"/>
    <w:rsid w:val="00FC0362"/>
    <w:rsid w:val="00FC1CB0"/>
    <w:rsid w:val="00FC39A4"/>
    <w:rsid w:val="00FD162B"/>
    <w:rsid w:val="00FD2F87"/>
    <w:rsid w:val="00FE07A2"/>
    <w:rsid w:val="00FE4B94"/>
    <w:rsid w:val="00FF237B"/>
    <w:rsid w:val="00FF2B65"/>
    <w:rsid w:val="00FF37FE"/>
    <w:rsid w:val="00FF46D1"/>
    <w:rsid w:val="00FF4AAA"/>
    <w:rsid w:val="023D0A2D"/>
    <w:rsid w:val="04BA0C77"/>
    <w:rsid w:val="068E5AA0"/>
    <w:rsid w:val="07F02250"/>
    <w:rsid w:val="097958AD"/>
    <w:rsid w:val="0B916BE8"/>
    <w:rsid w:val="138E6E90"/>
    <w:rsid w:val="16BE082C"/>
    <w:rsid w:val="18B408A4"/>
    <w:rsid w:val="19796E86"/>
    <w:rsid w:val="2300755F"/>
    <w:rsid w:val="23266B61"/>
    <w:rsid w:val="275752EE"/>
    <w:rsid w:val="33A32D34"/>
    <w:rsid w:val="37385246"/>
    <w:rsid w:val="43B32016"/>
    <w:rsid w:val="4845273F"/>
    <w:rsid w:val="49F46598"/>
    <w:rsid w:val="5AA31C50"/>
    <w:rsid w:val="5F5A7462"/>
    <w:rsid w:val="61E04BB4"/>
    <w:rsid w:val="6CC757F9"/>
    <w:rsid w:val="6E1949CD"/>
    <w:rsid w:val="715A1CC7"/>
    <w:rsid w:val="73836F87"/>
    <w:rsid w:val="75BA487A"/>
    <w:rsid w:val="7E8B514C"/>
    <w:rsid w:val="7EB51EA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semiHidden="0" w:name="heading 3"/>
    <w:lsdException w:qFormat="1"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qFormat="1" w:unhideWhenUsed="0" w:uiPriority="0" w:semiHidden="0"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iPriority="0" w:semiHidden="0" w:name="Normal Indent"/>
    <w:lsdException w:uiPriority="99" w:name="footnote text"/>
    <w:lsdException w:qFormat="1" w:unhideWhenUsed="0" w:uiPriority="99" w:semiHidden="0" w:name="annotation text"/>
    <w:lsdException w:qFormat="1" w:uiPriority="0" w:semiHidden="0" w:name="header"/>
    <w:lsdException w:qFormat="1"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qFormat="1" w:unhideWhenUsed="0" w:uiPriority="0" w:semiHidden="0" w:name="Salutation"/>
    <w:lsdException w:qFormat="1" w:uiPriority="0" w:semiHidden="0" w:name="Date"/>
    <w:lsdException w:qFormat="1" w:uiPriority="0" w:semiHidden="0" w:name="Body Text First Indent"/>
    <w:lsdException w:qFormat="1" w:uiPriority="99" w:name="Body Text First Indent 2"/>
    <w:lsdException w:uiPriority="99" w:name="Note Heading"/>
    <w:lsdException w:qFormat="1" w:uiPriority="0" w:semiHidden="0" w:name="Body Text 2"/>
    <w:lsdException w:qFormat="1"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iPriority="99" w:semiHidden="0" w:name="Hyperlink"/>
    <w:lsdException w:uiPriority="99"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qFormat="1" w:uiPriority="99" w:semiHidden="0" w:name="HTML Acronym"/>
    <w:lsdException w:uiPriority="99" w:name="HTML Address"/>
    <w:lsdException w:qFormat="1" w:uiPriority="99" w:semiHidden="0" w:name="HTML Cite"/>
    <w:lsdException w:qFormat="1" w:uiPriority="99" w:semiHidden="0" w:name="HTML Code"/>
    <w:lsdException w:uiPriority="99" w:semiHidden="0" w:name="HTML Definition"/>
    <w:lsdException w:uiPriority="99" w:semiHidden="0" w:name="HTML Keyboard"/>
    <w:lsdException w:uiPriority="99" w:name="HTML Preformatted"/>
    <w:lsdException w:qFormat="1" w:uiPriority="99" w:semiHidden="0" w:name="HTML Sample"/>
    <w:lsdException w:uiPriority="99" w:semiHidden="0" w:name="HTML Typewriter"/>
    <w:lsdException w:qFormat="1" w:uiPriority="99" w:semiHidden="0"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qFormat="1" w:unhideWhenUsed="0" w:uiPriority="0" w:semiHidden="0" w:name="Quote"/>
    <w:lsdException w:qFormat="1" w:unhideWhenUsed="0" w:uiPriority="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link w:val="78"/>
    <w:qFormat/>
    <w:uiPriority w:val="0"/>
    <w:pPr>
      <w:keepNext/>
      <w:keepLines/>
      <w:spacing w:before="340" w:after="330" w:line="578" w:lineRule="auto"/>
      <w:outlineLvl w:val="0"/>
    </w:pPr>
    <w:rPr>
      <w:b/>
      <w:bCs/>
      <w:kern w:val="44"/>
      <w:sz w:val="44"/>
      <w:szCs w:val="44"/>
    </w:rPr>
  </w:style>
  <w:style w:type="paragraph" w:styleId="4">
    <w:name w:val="heading 2"/>
    <w:basedOn w:val="1"/>
    <w:next w:val="5"/>
    <w:link w:val="72"/>
    <w:qFormat/>
    <w:uiPriority w:val="0"/>
    <w:pPr>
      <w:keepNext/>
      <w:keepLines/>
      <w:tabs>
        <w:tab w:val="left" w:pos="840"/>
      </w:tabs>
      <w:spacing w:before="260" w:after="260" w:line="416" w:lineRule="auto"/>
      <w:ind w:left="840" w:hanging="420"/>
      <w:jc w:val="center"/>
      <w:outlineLvl w:val="1"/>
    </w:pPr>
    <w:rPr>
      <w:rFonts w:ascii="Arial" w:hAnsi="Arial" w:eastAsia="黑体" w:cs="Times New Roman"/>
      <w:b/>
      <w:sz w:val="32"/>
      <w:szCs w:val="20"/>
    </w:rPr>
  </w:style>
  <w:style w:type="paragraph" w:styleId="6">
    <w:name w:val="heading 3"/>
    <w:basedOn w:val="1"/>
    <w:next w:val="1"/>
    <w:link w:val="80"/>
    <w:unhideWhenUsed/>
    <w:qFormat/>
    <w:uiPriority w:val="0"/>
    <w:pPr>
      <w:keepNext/>
      <w:keepLines/>
      <w:spacing w:before="260" w:after="260" w:line="416" w:lineRule="auto"/>
      <w:outlineLvl w:val="2"/>
    </w:pPr>
    <w:rPr>
      <w:b/>
      <w:bCs/>
      <w:sz w:val="32"/>
      <w:szCs w:val="32"/>
    </w:rPr>
  </w:style>
  <w:style w:type="paragraph" w:styleId="7">
    <w:name w:val="heading 4"/>
    <w:basedOn w:val="1"/>
    <w:next w:val="1"/>
    <w:link w:val="81"/>
    <w:unhideWhenUsed/>
    <w:qFormat/>
    <w:uiPriority w:val="0"/>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8">
    <w:name w:val="heading 5"/>
    <w:basedOn w:val="1"/>
    <w:next w:val="1"/>
    <w:link w:val="84"/>
    <w:qFormat/>
    <w:uiPriority w:val="0"/>
    <w:pPr>
      <w:keepNext/>
      <w:keepLines/>
      <w:spacing w:before="280" w:after="290" w:line="374" w:lineRule="auto"/>
      <w:ind w:left="2100" w:hanging="420"/>
      <w:outlineLvl w:val="4"/>
    </w:pPr>
    <w:rPr>
      <w:rFonts w:ascii="Times New Roman" w:hAnsi="Times New Roman" w:eastAsia="仿宋_GB2312" w:cs="Times New Roman"/>
      <w:b/>
      <w:bCs/>
      <w:kern w:val="0"/>
      <w:sz w:val="28"/>
      <w:szCs w:val="28"/>
    </w:rPr>
  </w:style>
  <w:style w:type="paragraph" w:styleId="9">
    <w:name w:val="heading 6"/>
    <w:basedOn w:val="1"/>
    <w:next w:val="1"/>
    <w:link w:val="85"/>
    <w:qFormat/>
    <w:uiPriority w:val="0"/>
    <w:pPr>
      <w:keepNext/>
      <w:keepLines/>
      <w:spacing w:before="240" w:after="64" w:line="319" w:lineRule="auto"/>
      <w:ind w:left="2520" w:hanging="420"/>
      <w:outlineLvl w:val="5"/>
    </w:pPr>
    <w:rPr>
      <w:rFonts w:ascii="Arial" w:hAnsi="Arial" w:eastAsia="黑体" w:cs="Times New Roman"/>
      <w:b/>
      <w:bCs/>
      <w:kern w:val="0"/>
      <w:sz w:val="24"/>
      <w:szCs w:val="24"/>
    </w:rPr>
  </w:style>
  <w:style w:type="paragraph" w:styleId="10">
    <w:name w:val="heading 7"/>
    <w:basedOn w:val="1"/>
    <w:next w:val="1"/>
    <w:link w:val="86"/>
    <w:qFormat/>
    <w:uiPriority w:val="0"/>
    <w:pPr>
      <w:keepNext/>
      <w:keepLines/>
      <w:spacing w:before="240" w:after="64" w:line="319" w:lineRule="auto"/>
      <w:ind w:left="2940" w:hanging="420"/>
      <w:outlineLvl w:val="6"/>
    </w:pPr>
    <w:rPr>
      <w:rFonts w:ascii="Times New Roman" w:hAnsi="Times New Roman" w:eastAsia="仿宋_GB2312" w:cs="Times New Roman"/>
      <w:b/>
      <w:bCs/>
      <w:kern w:val="0"/>
      <w:sz w:val="24"/>
      <w:szCs w:val="24"/>
    </w:rPr>
  </w:style>
  <w:style w:type="paragraph" w:styleId="11">
    <w:name w:val="heading 8"/>
    <w:basedOn w:val="1"/>
    <w:next w:val="1"/>
    <w:link w:val="87"/>
    <w:qFormat/>
    <w:uiPriority w:val="0"/>
    <w:pPr>
      <w:keepNext/>
      <w:keepLines/>
      <w:spacing w:before="240" w:after="64" w:line="319" w:lineRule="auto"/>
      <w:ind w:left="3360" w:hanging="420"/>
      <w:outlineLvl w:val="7"/>
    </w:pPr>
    <w:rPr>
      <w:rFonts w:ascii="Arial" w:hAnsi="Arial" w:eastAsia="黑体" w:cs="Times New Roman"/>
      <w:kern w:val="0"/>
      <w:sz w:val="24"/>
      <w:szCs w:val="24"/>
    </w:rPr>
  </w:style>
  <w:style w:type="paragraph" w:styleId="12">
    <w:name w:val="heading 9"/>
    <w:basedOn w:val="1"/>
    <w:next w:val="1"/>
    <w:link w:val="88"/>
    <w:qFormat/>
    <w:uiPriority w:val="0"/>
    <w:pPr>
      <w:keepNext/>
      <w:keepLines/>
      <w:spacing w:before="240" w:after="64" w:line="319" w:lineRule="auto"/>
      <w:ind w:left="3780" w:hanging="420"/>
      <w:outlineLvl w:val="8"/>
    </w:pPr>
    <w:rPr>
      <w:rFonts w:ascii="Arial" w:hAnsi="Arial" w:eastAsia="黑体" w:cs="Times New Roman"/>
      <w:kern w:val="0"/>
      <w:sz w:val="20"/>
      <w:szCs w:val="21"/>
    </w:rPr>
  </w:style>
  <w:style w:type="character" w:default="1" w:styleId="47">
    <w:name w:val="Default Paragraph Font"/>
    <w:semiHidden/>
    <w:unhideWhenUsed/>
    <w:qFormat/>
    <w:uiPriority w:val="1"/>
  </w:style>
  <w:style w:type="table" w:default="1" w:styleId="45">
    <w:name w:val="Normal Table"/>
    <w:semiHidden/>
    <w:unhideWhenUsed/>
    <w:qFormat/>
    <w:uiPriority w:val="99"/>
    <w:tblPr>
      <w:tblCellMar>
        <w:top w:w="0" w:type="dxa"/>
        <w:left w:w="108" w:type="dxa"/>
        <w:bottom w:w="0" w:type="dxa"/>
        <w:right w:w="108" w:type="dxa"/>
      </w:tblCellMar>
    </w:tblPr>
  </w:style>
  <w:style w:type="paragraph" w:customStyle="1" w:styleId="2">
    <w:name w:val="Default"/>
    <w:qFormat/>
    <w:uiPriority w:val="0"/>
    <w:pPr>
      <w:widowControl w:val="0"/>
      <w:autoSpaceDE w:val="0"/>
      <w:autoSpaceDN w:val="0"/>
      <w:adjustRightInd w:val="0"/>
    </w:pPr>
    <w:rPr>
      <w:rFonts w:ascii="宋体" w:eastAsia="宋体" w:cs="宋体" w:hAnsiTheme="minorHAnsi"/>
      <w:color w:val="000000"/>
      <w:sz w:val="24"/>
      <w:szCs w:val="24"/>
      <w:lang w:val="en-US" w:eastAsia="zh-CN" w:bidi="ar-SA"/>
    </w:rPr>
  </w:style>
  <w:style w:type="paragraph" w:styleId="5">
    <w:name w:val="Normal Indent"/>
    <w:basedOn w:val="1"/>
    <w:link w:val="73"/>
    <w:unhideWhenUsed/>
    <w:qFormat/>
    <w:uiPriority w:val="0"/>
    <w:pPr>
      <w:ind w:firstLine="420" w:firstLineChars="200"/>
    </w:pPr>
  </w:style>
  <w:style w:type="paragraph" w:styleId="13">
    <w:name w:val="toc 7"/>
    <w:basedOn w:val="1"/>
    <w:next w:val="1"/>
    <w:qFormat/>
    <w:uiPriority w:val="0"/>
    <w:pPr>
      <w:ind w:left="2520" w:leftChars="1200"/>
    </w:pPr>
    <w:rPr>
      <w:rFonts w:ascii="Calibri" w:hAnsi="Calibri" w:eastAsia="宋体" w:cs="Times New Roman"/>
    </w:rPr>
  </w:style>
  <w:style w:type="paragraph" w:styleId="14">
    <w:name w:val="caption"/>
    <w:basedOn w:val="1"/>
    <w:next w:val="1"/>
    <w:qFormat/>
    <w:uiPriority w:val="0"/>
    <w:rPr>
      <w:rFonts w:ascii="Cambria" w:hAnsi="Cambria" w:eastAsia="黑体" w:cs="Cambria"/>
      <w:sz w:val="20"/>
      <w:szCs w:val="20"/>
    </w:rPr>
  </w:style>
  <w:style w:type="paragraph" w:styleId="15">
    <w:name w:val="Document Map"/>
    <w:basedOn w:val="1"/>
    <w:link w:val="94"/>
    <w:qFormat/>
    <w:uiPriority w:val="0"/>
    <w:rPr>
      <w:rFonts w:hAnsi="Times New Roman"/>
      <w:kern w:val="0"/>
      <w:sz w:val="18"/>
      <w:szCs w:val="18"/>
    </w:rPr>
  </w:style>
  <w:style w:type="paragraph" w:styleId="16">
    <w:name w:val="annotation text"/>
    <w:basedOn w:val="1"/>
    <w:link w:val="66"/>
    <w:qFormat/>
    <w:uiPriority w:val="99"/>
    <w:pPr>
      <w:jc w:val="left"/>
    </w:pPr>
    <w:rPr>
      <w:szCs w:val="24"/>
    </w:rPr>
  </w:style>
  <w:style w:type="paragraph" w:styleId="17">
    <w:name w:val="Salutation"/>
    <w:basedOn w:val="1"/>
    <w:next w:val="1"/>
    <w:link w:val="194"/>
    <w:qFormat/>
    <w:uiPriority w:val="0"/>
    <w:rPr>
      <w:kern w:val="0"/>
      <w:sz w:val="28"/>
      <w:szCs w:val="20"/>
    </w:rPr>
  </w:style>
  <w:style w:type="paragraph" w:styleId="18">
    <w:name w:val="Body Text 3"/>
    <w:basedOn w:val="1"/>
    <w:link w:val="71"/>
    <w:unhideWhenUsed/>
    <w:qFormat/>
    <w:uiPriority w:val="0"/>
    <w:pPr>
      <w:spacing w:after="120"/>
    </w:pPr>
    <w:rPr>
      <w:sz w:val="16"/>
      <w:szCs w:val="16"/>
    </w:rPr>
  </w:style>
  <w:style w:type="paragraph" w:styleId="19">
    <w:name w:val="Body Text"/>
    <w:basedOn w:val="1"/>
    <w:link w:val="68"/>
    <w:qFormat/>
    <w:uiPriority w:val="0"/>
    <w:pPr>
      <w:adjustRightInd w:val="0"/>
      <w:jc w:val="left"/>
      <w:textAlignment w:val="baseline"/>
    </w:pPr>
    <w:rPr>
      <w:rFonts w:ascii="楷体_GB2312" w:hAnsi="Times New Roman" w:eastAsia="楷体_GB2312" w:cs="Times New Roman"/>
      <w:kern w:val="0"/>
      <w:sz w:val="28"/>
      <w:szCs w:val="20"/>
    </w:rPr>
  </w:style>
  <w:style w:type="paragraph" w:styleId="20">
    <w:name w:val="Body Text Indent"/>
    <w:basedOn w:val="1"/>
    <w:link w:val="69"/>
    <w:unhideWhenUsed/>
    <w:qFormat/>
    <w:uiPriority w:val="0"/>
    <w:pPr>
      <w:spacing w:after="120"/>
      <w:ind w:left="420" w:leftChars="200"/>
    </w:pPr>
  </w:style>
  <w:style w:type="paragraph" w:styleId="21">
    <w:name w:val="index 4"/>
    <w:basedOn w:val="1"/>
    <w:next w:val="1"/>
    <w:qFormat/>
    <w:uiPriority w:val="0"/>
    <w:pPr>
      <w:ind w:left="600" w:leftChars="600"/>
    </w:pPr>
    <w:rPr>
      <w:rFonts w:ascii="Times New Roman" w:hAnsi="Times New Roman" w:eastAsia="宋体" w:cs="Times New Roman"/>
      <w:szCs w:val="21"/>
    </w:rPr>
  </w:style>
  <w:style w:type="paragraph" w:styleId="22">
    <w:name w:val="toc 5"/>
    <w:basedOn w:val="1"/>
    <w:next w:val="1"/>
    <w:qFormat/>
    <w:uiPriority w:val="0"/>
    <w:pPr>
      <w:ind w:left="1680" w:leftChars="800"/>
    </w:pPr>
    <w:rPr>
      <w:rFonts w:ascii="Calibri" w:hAnsi="Calibri" w:eastAsia="宋体" w:cs="Times New Roman"/>
    </w:rPr>
  </w:style>
  <w:style w:type="paragraph" w:styleId="23">
    <w:name w:val="toc 3"/>
    <w:basedOn w:val="1"/>
    <w:next w:val="1"/>
    <w:unhideWhenUsed/>
    <w:qFormat/>
    <w:uiPriority w:val="39"/>
    <w:pPr>
      <w:widowControl/>
      <w:spacing w:after="100" w:line="276" w:lineRule="auto"/>
      <w:ind w:left="440"/>
      <w:jc w:val="left"/>
    </w:pPr>
    <w:rPr>
      <w:kern w:val="0"/>
      <w:sz w:val="22"/>
    </w:rPr>
  </w:style>
  <w:style w:type="paragraph" w:styleId="24">
    <w:name w:val="Plain Text"/>
    <w:basedOn w:val="1"/>
    <w:link w:val="74"/>
    <w:qFormat/>
    <w:uiPriority w:val="0"/>
    <w:rPr>
      <w:rFonts w:ascii="宋体" w:hAnsi="Courier New"/>
    </w:rPr>
  </w:style>
  <w:style w:type="paragraph" w:styleId="25">
    <w:name w:val="toc 8"/>
    <w:basedOn w:val="1"/>
    <w:next w:val="1"/>
    <w:qFormat/>
    <w:uiPriority w:val="0"/>
    <w:pPr>
      <w:ind w:left="2940" w:leftChars="1400"/>
    </w:pPr>
    <w:rPr>
      <w:rFonts w:ascii="Calibri" w:hAnsi="Calibri" w:eastAsia="宋体" w:cs="Times New Roman"/>
    </w:rPr>
  </w:style>
  <w:style w:type="paragraph" w:styleId="26">
    <w:name w:val="Date"/>
    <w:basedOn w:val="1"/>
    <w:next w:val="1"/>
    <w:link w:val="83"/>
    <w:unhideWhenUsed/>
    <w:qFormat/>
    <w:uiPriority w:val="0"/>
    <w:pPr>
      <w:ind w:left="100" w:leftChars="2500"/>
    </w:pPr>
  </w:style>
  <w:style w:type="paragraph" w:styleId="27">
    <w:name w:val="Body Text Indent 2"/>
    <w:basedOn w:val="1"/>
    <w:link w:val="107"/>
    <w:qFormat/>
    <w:uiPriority w:val="0"/>
    <w:pPr>
      <w:ind w:left="424" w:leftChars="202"/>
    </w:pPr>
    <w:rPr>
      <w:rFonts w:ascii="Times New Roman" w:hAnsi="Times New Roman" w:eastAsia="楷体_GB2312" w:cs="Times New Roman"/>
      <w:kern w:val="0"/>
      <w:sz w:val="28"/>
      <w:szCs w:val="24"/>
    </w:rPr>
  </w:style>
  <w:style w:type="paragraph" w:styleId="28">
    <w:name w:val="Balloon Text"/>
    <w:basedOn w:val="1"/>
    <w:link w:val="113"/>
    <w:qFormat/>
    <w:uiPriority w:val="0"/>
    <w:rPr>
      <w:rFonts w:ascii="Times New Roman" w:hAnsi="Times New Roman" w:cs="Times New Roman"/>
      <w:kern w:val="0"/>
      <w:sz w:val="18"/>
      <w:szCs w:val="18"/>
    </w:rPr>
  </w:style>
  <w:style w:type="paragraph" w:styleId="29">
    <w:name w:val="footer"/>
    <w:basedOn w:val="1"/>
    <w:link w:val="63"/>
    <w:unhideWhenUsed/>
    <w:qFormat/>
    <w:uiPriority w:val="99"/>
    <w:pPr>
      <w:tabs>
        <w:tab w:val="center" w:pos="4153"/>
        <w:tab w:val="right" w:pos="8306"/>
      </w:tabs>
      <w:snapToGrid w:val="0"/>
      <w:jc w:val="left"/>
    </w:pPr>
    <w:rPr>
      <w:sz w:val="18"/>
      <w:szCs w:val="18"/>
    </w:rPr>
  </w:style>
  <w:style w:type="paragraph" w:styleId="30">
    <w:name w:val="header"/>
    <w:basedOn w:val="1"/>
    <w:link w:val="62"/>
    <w:unhideWhenUsed/>
    <w:qFormat/>
    <w:uiPriority w:val="0"/>
    <w:pPr>
      <w:pBdr>
        <w:bottom w:val="single" w:color="auto" w:sz="6" w:space="1"/>
      </w:pBdr>
      <w:tabs>
        <w:tab w:val="center" w:pos="4153"/>
        <w:tab w:val="right" w:pos="8306"/>
      </w:tabs>
      <w:snapToGrid w:val="0"/>
      <w:jc w:val="center"/>
    </w:pPr>
    <w:rPr>
      <w:sz w:val="18"/>
      <w:szCs w:val="18"/>
    </w:rPr>
  </w:style>
  <w:style w:type="paragraph" w:styleId="31">
    <w:name w:val="toc 1"/>
    <w:basedOn w:val="1"/>
    <w:next w:val="1"/>
    <w:unhideWhenUsed/>
    <w:qFormat/>
    <w:uiPriority w:val="39"/>
    <w:pPr>
      <w:widowControl/>
      <w:spacing w:after="100" w:line="276" w:lineRule="auto"/>
      <w:jc w:val="left"/>
    </w:pPr>
    <w:rPr>
      <w:kern w:val="0"/>
      <w:sz w:val="22"/>
    </w:rPr>
  </w:style>
  <w:style w:type="paragraph" w:styleId="32">
    <w:name w:val="toc 4"/>
    <w:basedOn w:val="1"/>
    <w:next w:val="1"/>
    <w:qFormat/>
    <w:uiPriority w:val="0"/>
    <w:pPr>
      <w:ind w:left="1260" w:leftChars="600"/>
    </w:pPr>
    <w:rPr>
      <w:rFonts w:ascii="Calibri" w:hAnsi="Calibri" w:eastAsia="宋体" w:cs="Times New Roman"/>
    </w:rPr>
  </w:style>
  <w:style w:type="paragraph" w:styleId="33">
    <w:name w:val="Subtitle"/>
    <w:basedOn w:val="1"/>
    <w:next w:val="1"/>
    <w:link w:val="79"/>
    <w:qFormat/>
    <w:uiPriority w:val="0"/>
    <w:pPr>
      <w:spacing w:before="240" w:after="60" w:line="312" w:lineRule="auto"/>
      <w:jc w:val="center"/>
      <w:outlineLvl w:val="1"/>
    </w:pPr>
    <w:rPr>
      <w:rFonts w:eastAsia="宋体" w:asciiTheme="majorHAnsi" w:hAnsiTheme="majorHAnsi" w:cstheme="majorBidi"/>
      <w:b/>
      <w:bCs/>
      <w:kern w:val="28"/>
      <w:sz w:val="32"/>
      <w:szCs w:val="32"/>
    </w:rPr>
  </w:style>
  <w:style w:type="paragraph" w:styleId="34">
    <w:name w:val="toc 6"/>
    <w:basedOn w:val="1"/>
    <w:next w:val="1"/>
    <w:qFormat/>
    <w:uiPriority w:val="0"/>
    <w:pPr>
      <w:ind w:left="2100" w:leftChars="1000"/>
    </w:pPr>
    <w:rPr>
      <w:rFonts w:ascii="Calibri" w:hAnsi="Calibri" w:eastAsia="宋体" w:cs="Times New Roman"/>
    </w:rPr>
  </w:style>
  <w:style w:type="paragraph" w:styleId="35">
    <w:name w:val="Body Text Indent 3"/>
    <w:basedOn w:val="1"/>
    <w:link w:val="104"/>
    <w:qFormat/>
    <w:uiPriority w:val="0"/>
    <w:pPr>
      <w:spacing w:after="120"/>
      <w:ind w:left="420" w:leftChars="200"/>
    </w:pPr>
    <w:rPr>
      <w:rFonts w:ascii="Times New Roman" w:hAnsi="Times New Roman" w:cs="Times New Roman"/>
      <w:kern w:val="0"/>
      <w:sz w:val="16"/>
      <w:szCs w:val="16"/>
    </w:rPr>
  </w:style>
  <w:style w:type="paragraph" w:styleId="36">
    <w:name w:val="toc 2"/>
    <w:basedOn w:val="1"/>
    <w:next w:val="1"/>
    <w:unhideWhenUsed/>
    <w:qFormat/>
    <w:uiPriority w:val="39"/>
    <w:pPr>
      <w:widowControl/>
      <w:spacing w:after="100" w:line="276" w:lineRule="auto"/>
      <w:ind w:left="220"/>
      <w:jc w:val="left"/>
    </w:pPr>
    <w:rPr>
      <w:kern w:val="0"/>
      <w:sz w:val="22"/>
    </w:rPr>
  </w:style>
  <w:style w:type="paragraph" w:styleId="37">
    <w:name w:val="toc 9"/>
    <w:basedOn w:val="1"/>
    <w:next w:val="1"/>
    <w:qFormat/>
    <w:uiPriority w:val="0"/>
    <w:pPr>
      <w:ind w:left="3360" w:leftChars="1600"/>
    </w:pPr>
    <w:rPr>
      <w:rFonts w:ascii="Calibri" w:hAnsi="Calibri" w:eastAsia="宋体" w:cs="Times New Roman"/>
    </w:rPr>
  </w:style>
  <w:style w:type="paragraph" w:styleId="38">
    <w:name w:val="Body Text 2"/>
    <w:basedOn w:val="1"/>
    <w:link w:val="241"/>
    <w:unhideWhenUsed/>
    <w:qFormat/>
    <w:uiPriority w:val="0"/>
    <w:rPr>
      <w:rFonts w:ascii="Times New Roman" w:hAnsi="Times New Roman" w:eastAsia="宋体" w:cs="Times New Roman"/>
      <w:szCs w:val="24"/>
    </w:rPr>
  </w:style>
  <w:style w:type="paragraph" w:styleId="39">
    <w:name w:val="Normal (Web)"/>
    <w:basedOn w:val="1"/>
    <w:qFormat/>
    <w:uiPriority w:val="0"/>
    <w:pPr>
      <w:widowControl/>
      <w:spacing w:before="100" w:beforeAutospacing="1" w:after="100" w:afterAutospacing="1"/>
      <w:jc w:val="left"/>
    </w:pPr>
    <w:rPr>
      <w:rFonts w:ascii="宋体" w:hAnsi="宋体" w:eastAsia="宋体" w:cs="Times New Roman"/>
      <w:kern w:val="0"/>
      <w:sz w:val="24"/>
      <w:szCs w:val="24"/>
    </w:rPr>
  </w:style>
  <w:style w:type="paragraph" w:styleId="40">
    <w:name w:val="index 1"/>
    <w:basedOn w:val="1"/>
    <w:next w:val="1"/>
    <w:qFormat/>
    <w:uiPriority w:val="0"/>
    <w:pPr>
      <w:spacing w:line="220" w:lineRule="exact"/>
      <w:jc w:val="center"/>
    </w:pPr>
    <w:rPr>
      <w:rFonts w:ascii="仿宋_GB2312" w:hAnsi="Times New Roman" w:eastAsia="仿宋_GB2312" w:cs="Times New Roman"/>
      <w:szCs w:val="21"/>
    </w:rPr>
  </w:style>
  <w:style w:type="paragraph" w:styleId="41">
    <w:name w:val="Title"/>
    <w:basedOn w:val="1"/>
    <w:next w:val="1"/>
    <w:link w:val="117"/>
    <w:qFormat/>
    <w:uiPriority w:val="0"/>
    <w:pPr>
      <w:adjustRightInd w:val="0"/>
      <w:spacing w:before="240" w:after="60" w:line="420" w:lineRule="atLeast"/>
      <w:jc w:val="center"/>
      <w:textAlignment w:val="baseline"/>
      <w:outlineLvl w:val="0"/>
    </w:pPr>
    <w:rPr>
      <w:rFonts w:ascii="Arial" w:hAnsi="Arial" w:cs="Times New Roman"/>
      <w:b/>
      <w:kern w:val="0"/>
      <w:sz w:val="32"/>
      <w:szCs w:val="20"/>
    </w:rPr>
  </w:style>
  <w:style w:type="paragraph" w:styleId="42">
    <w:name w:val="annotation subject"/>
    <w:basedOn w:val="16"/>
    <w:next w:val="16"/>
    <w:link w:val="109"/>
    <w:qFormat/>
    <w:uiPriority w:val="0"/>
    <w:rPr>
      <w:rFonts w:ascii="Times New Roman" w:hAnsi="Times New Roman" w:cs="Times New Roman"/>
      <w:b/>
      <w:bCs/>
      <w:kern w:val="0"/>
      <w:sz w:val="20"/>
    </w:rPr>
  </w:style>
  <w:style w:type="paragraph" w:styleId="43">
    <w:name w:val="Body Text First Indent"/>
    <w:basedOn w:val="19"/>
    <w:link w:val="70"/>
    <w:unhideWhenUsed/>
    <w:qFormat/>
    <w:uiPriority w:val="0"/>
    <w:pPr>
      <w:adjustRightInd/>
      <w:spacing w:after="120"/>
      <w:ind w:firstLine="420" w:firstLineChars="100"/>
      <w:jc w:val="both"/>
      <w:textAlignment w:val="auto"/>
    </w:pPr>
    <w:rPr>
      <w:rFonts w:asciiTheme="minorHAnsi" w:hAnsiTheme="minorHAnsi" w:eastAsiaTheme="minorEastAsia" w:cstheme="minorBidi"/>
      <w:kern w:val="2"/>
      <w:sz w:val="21"/>
      <w:szCs w:val="22"/>
    </w:rPr>
  </w:style>
  <w:style w:type="paragraph" w:styleId="44">
    <w:name w:val="Body Text First Indent 2"/>
    <w:basedOn w:val="20"/>
    <w:link w:val="247"/>
    <w:semiHidden/>
    <w:unhideWhenUsed/>
    <w:qFormat/>
    <w:uiPriority w:val="99"/>
    <w:pPr>
      <w:ind w:firstLine="420" w:firstLineChars="200"/>
    </w:pPr>
  </w:style>
  <w:style w:type="table" w:styleId="46">
    <w:name w:val="Table Grid"/>
    <w:basedOn w:val="45"/>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8">
    <w:name w:val="Strong"/>
    <w:qFormat/>
    <w:uiPriority w:val="0"/>
    <w:rPr>
      <w:b/>
    </w:rPr>
  </w:style>
  <w:style w:type="character" w:styleId="49">
    <w:name w:val="page number"/>
    <w:basedOn w:val="47"/>
    <w:qFormat/>
    <w:uiPriority w:val="0"/>
  </w:style>
  <w:style w:type="character" w:styleId="50">
    <w:name w:val="FollowedHyperlink"/>
    <w:basedOn w:val="47"/>
    <w:unhideWhenUsed/>
    <w:uiPriority w:val="99"/>
    <w:rPr>
      <w:color w:val="800080" w:themeColor="followedHyperlink"/>
      <w:u w:val="single"/>
    </w:rPr>
  </w:style>
  <w:style w:type="character" w:styleId="51">
    <w:name w:val="Emphasis"/>
    <w:qFormat/>
    <w:uiPriority w:val="0"/>
    <w:rPr>
      <w:color w:val="CC0033"/>
    </w:rPr>
  </w:style>
  <w:style w:type="character" w:styleId="52">
    <w:name w:val="HTML Definition"/>
    <w:basedOn w:val="47"/>
    <w:unhideWhenUsed/>
    <w:uiPriority w:val="99"/>
  </w:style>
  <w:style w:type="character" w:styleId="53">
    <w:name w:val="HTML Typewriter"/>
    <w:basedOn w:val="47"/>
    <w:unhideWhenUsed/>
    <w:uiPriority w:val="99"/>
    <w:rPr>
      <w:rFonts w:hint="default" w:ascii="monospace" w:hAnsi="monospace" w:eastAsia="monospace" w:cs="monospace"/>
      <w:sz w:val="20"/>
    </w:rPr>
  </w:style>
  <w:style w:type="character" w:styleId="54">
    <w:name w:val="HTML Acronym"/>
    <w:basedOn w:val="47"/>
    <w:unhideWhenUsed/>
    <w:qFormat/>
    <w:uiPriority w:val="99"/>
  </w:style>
  <w:style w:type="character" w:styleId="55">
    <w:name w:val="HTML Variable"/>
    <w:basedOn w:val="47"/>
    <w:unhideWhenUsed/>
    <w:qFormat/>
    <w:uiPriority w:val="99"/>
  </w:style>
  <w:style w:type="character" w:styleId="56">
    <w:name w:val="Hyperlink"/>
    <w:basedOn w:val="47"/>
    <w:unhideWhenUsed/>
    <w:qFormat/>
    <w:uiPriority w:val="99"/>
    <w:rPr>
      <w:color w:val="0000FF" w:themeColor="hyperlink"/>
      <w:u w:val="single"/>
    </w:rPr>
  </w:style>
  <w:style w:type="character" w:styleId="57">
    <w:name w:val="HTML Code"/>
    <w:basedOn w:val="47"/>
    <w:unhideWhenUsed/>
    <w:qFormat/>
    <w:uiPriority w:val="99"/>
    <w:rPr>
      <w:rFonts w:ascii="monospace" w:hAnsi="monospace" w:eastAsia="monospace" w:cs="monospace"/>
      <w:sz w:val="20"/>
    </w:rPr>
  </w:style>
  <w:style w:type="character" w:styleId="58">
    <w:name w:val="annotation reference"/>
    <w:qFormat/>
    <w:uiPriority w:val="0"/>
    <w:rPr>
      <w:sz w:val="21"/>
      <w:szCs w:val="21"/>
    </w:rPr>
  </w:style>
  <w:style w:type="character" w:styleId="59">
    <w:name w:val="HTML Cite"/>
    <w:basedOn w:val="47"/>
    <w:unhideWhenUsed/>
    <w:qFormat/>
    <w:uiPriority w:val="99"/>
  </w:style>
  <w:style w:type="character" w:styleId="60">
    <w:name w:val="HTML Keyboard"/>
    <w:basedOn w:val="47"/>
    <w:unhideWhenUsed/>
    <w:uiPriority w:val="99"/>
    <w:rPr>
      <w:rFonts w:hint="default" w:ascii="monospace" w:hAnsi="monospace" w:eastAsia="monospace" w:cs="monospace"/>
      <w:sz w:val="20"/>
    </w:rPr>
  </w:style>
  <w:style w:type="character" w:styleId="61">
    <w:name w:val="HTML Sample"/>
    <w:basedOn w:val="47"/>
    <w:unhideWhenUsed/>
    <w:qFormat/>
    <w:uiPriority w:val="99"/>
    <w:rPr>
      <w:rFonts w:hint="default" w:ascii="monospace" w:hAnsi="monospace" w:eastAsia="monospace" w:cs="monospace"/>
    </w:rPr>
  </w:style>
  <w:style w:type="character" w:customStyle="1" w:styleId="62">
    <w:name w:val="页眉 Char"/>
    <w:basedOn w:val="47"/>
    <w:link w:val="30"/>
    <w:qFormat/>
    <w:uiPriority w:val="99"/>
    <w:rPr>
      <w:sz w:val="18"/>
      <w:szCs w:val="18"/>
    </w:rPr>
  </w:style>
  <w:style w:type="character" w:customStyle="1" w:styleId="63">
    <w:name w:val="页脚 Char"/>
    <w:basedOn w:val="47"/>
    <w:link w:val="29"/>
    <w:qFormat/>
    <w:uiPriority w:val="99"/>
    <w:rPr>
      <w:sz w:val="18"/>
      <w:szCs w:val="18"/>
    </w:rPr>
  </w:style>
  <w:style w:type="table" w:customStyle="1" w:styleId="64">
    <w:name w:val="Table Normal"/>
    <w:semiHidden/>
    <w:unhideWhenUsed/>
    <w:qFormat/>
    <w:uiPriority w:val="2"/>
    <w:pPr>
      <w:widowControl w:val="0"/>
    </w:pPr>
    <w:rPr>
      <w:sz w:val="22"/>
      <w:lang w:eastAsia="en-US"/>
    </w:rPr>
    <w:tblPr>
      <w:tblCellMar>
        <w:top w:w="0" w:type="dxa"/>
        <w:left w:w="0" w:type="dxa"/>
        <w:bottom w:w="0" w:type="dxa"/>
        <w:right w:w="0" w:type="dxa"/>
      </w:tblCellMar>
    </w:tblPr>
  </w:style>
  <w:style w:type="paragraph" w:customStyle="1" w:styleId="65">
    <w:name w:val="Table Paragraph"/>
    <w:basedOn w:val="1"/>
    <w:qFormat/>
    <w:uiPriority w:val="1"/>
    <w:pPr>
      <w:jc w:val="left"/>
    </w:pPr>
    <w:rPr>
      <w:kern w:val="0"/>
      <w:sz w:val="22"/>
      <w:lang w:eastAsia="en-US"/>
    </w:rPr>
  </w:style>
  <w:style w:type="character" w:customStyle="1" w:styleId="66">
    <w:name w:val="批注文字 Char1"/>
    <w:link w:val="16"/>
    <w:uiPriority w:val="99"/>
    <w:rPr>
      <w:szCs w:val="24"/>
    </w:rPr>
  </w:style>
  <w:style w:type="character" w:customStyle="1" w:styleId="67">
    <w:name w:val="批注文字 Char"/>
    <w:basedOn w:val="47"/>
    <w:qFormat/>
    <w:uiPriority w:val="0"/>
  </w:style>
  <w:style w:type="character" w:customStyle="1" w:styleId="68">
    <w:name w:val="正文文本 Char"/>
    <w:basedOn w:val="47"/>
    <w:link w:val="19"/>
    <w:qFormat/>
    <w:uiPriority w:val="0"/>
    <w:rPr>
      <w:rFonts w:ascii="楷体_GB2312" w:hAnsi="Times New Roman" w:eastAsia="楷体_GB2312" w:cs="Times New Roman"/>
      <w:kern w:val="0"/>
      <w:sz w:val="28"/>
      <w:szCs w:val="20"/>
    </w:rPr>
  </w:style>
  <w:style w:type="character" w:customStyle="1" w:styleId="69">
    <w:name w:val="正文文本缩进 Char"/>
    <w:basedOn w:val="47"/>
    <w:link w:val="20"/>
    <w:qFormat/>
    <w:uiPriority w:val="0"/>
  </w:style>
  <w:style w:type="character" w:customStyle="1" w:styleId="70">
    <w:name w:val="正文首行缩进 Char"/>
    <w:basedOn w:val="68"/>
    <w:link w:val="43"/>
    <w:semiHidden/>
    <w:qFormat/>
    <w:uiPriority w:val="0"/>
    <w:rPr>
      <w:rFonts w:ascii="楷体_GB2312" w:hAnsi="Times New Roman" w:eastAsia="楷体_GB2312" w:cs="Times New Roman"/>
      <w:kern w:val="0"/>
      <w:sz w:val="28"/>
      <w:szCs w:val="20"/>
    </w:rPr>
  </w:style>
  <w:style w:type="character" w:customStyle="1" w:styleId="71">
    <w:name w:val="正文文本 3 Char"/>
    <w:basedOn w:val="47"/>
    <w:link w:val="18"/>
    <w:qFormat/>
    <w:uiPriority w:val="0"/>
    <w:rPr>
      <w:sz w:val="16"/>
      <w:szCs w:val="16"/>
    </w:rPr>
  </w:style>
  <w:style w:type="character" w:customStyle="1" w:styleId="72">
    <w:name w:val="标题 2 Char"/>
    <w:basedOn w:val="47"/>
    <w:link w:val="4"/>
    <w:qFormat/>
    <w:uiPriority w:val="0"/>
    <w:rPr>
      <w:rFonts w:ascii="Arial" w:hAnsi="Arial" w:eastAsia="黑体" w:cs="Times New Roman"/>
      <w:b/>
      <w:sz w:val="32"/>
      <w:szCs w:val="20"/>
    </w:rPr>
  </w:style>
  <w:style w:type="character" w:customStyle="1" w:styleId="73">
    <w:name w:val="正文缩进 Char1"/>
    <w:link w:val="5"/>
    <w:qFormat/>
    <w:uiPriority w:val="0"/>
  </w:style>
  <w:style w:type="character" w:customStyle="1" w:styleId="74">
    <w:name w:val="纯文本 Char"/>
    <w:link w:val="24"/>
    <w:qFormat/>
    <w:uiPriority w:val="0"/>
    <w:rPr>
      <w:rFonts w:ascii="宋体" w:hAnsi="Courier New"/>
    </w:rPr>
  </w:style>
  <w:style w:type="character" w:customStyle="1" w:styleId="75">
    <w:name w:val="纯文本 Char1"/>
    <w:basedOn w:val="47"/>
    <w:qFormat/>
    <w:uiPriority w:val="0"/>
    <w:rPr>
      <w:rFonts w:ascii="宋体" w:hAnsi="Courier New" w:eastAsia="宋体" w:cs="Courier New"/>
      <w:szCs w:val="21"/>
    </w:rPr>
  </w:style>
  <w:style w:type="paragraph" w:customStyle="1" w:styleId="76">
    <w:name w:val="正文_5_0"/>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77">
    <w:name w:val="font01"/>
    <w:qFormat/>
    <w:uiPriority w:val="0"/>
    <w:rPr>
      <w:rFonts w:hint="eastAsia" w:ascii="宋体" w:hAnsi="宋体" w:eastAsia="宋体" w:cs="宋体"/>
      <w:color w:val="000000"/>
      <w:sz w:val="22"/>
      <w:szCs w:val="22"/>
      <w:u w:val="none"/>
    </w:rPr>
  </w:style>
  <w:style w:type="character" w:customStyle="1" w:styleId="78">
    <w:name w:val="标题 1 Char"/>
    <w:basedOn w:val="47"/>
    <w:link w:val="3"/>
    <w:qFormat/>
    <w:uiPriority w:val="0"/>
    <w:rPr>
      <w:b/>
      <w:bCs/>
      <w:kern w:val="44"/>
      <w:sz w:val="44"/>
      <w:szCs w:val="44"/>
    </w:rPr>
  </w:style>
  <w:style w:type="character" w:customStyle="1" w:styleId="79">
    <w:name w:val="副标题 Char"/>
    <w:basedOn w:val="47"/>
    <w:link w:val="33"/>
    <w:qFormat/>
    <w:uiPriority w:val="0"/>
    <w:rPr>
      <w:rFonts w:eastAsia="宋体" w:asciiTheme="majorHAnsi" w:hAnsiTheme="majorHAnsi" w:cstheme="majorBidi"/>
      <w:b/>
      <w:bCs/>
      <w:kern w:val="28"/>
      <w:sz w:val="32"/>
      <w:szCs w:val="32"/>
    </w:rPr>
  </w:style>
  <w:style w:type="character" w:customStyle="1" w:styleId="80">
    <w:name w:val="标题 3 Char"/>
    <w:basedOn w:val="47"/>
    <w:link w:val="6"/>
    <w:qFormat/>
    <w:uiPriority w:val="0"/>
    <w:rPr>
      <w:b/>
      <w:bCs/>
      <w:sz w:val="32"/>
      <w:szCs w:val="32"/>
    </w:rPr>
  </w:style>
  <w:style w:type="character" w:customStyle="1" w:styleId="81">
    <w:name w:val="标题 4 Char"/>
    <w:basedOn w:val="47"/>
    <w:link w:val="7"/>
    <w:qFormat/>
    <w:uiPriority w:val="0"/>
    <w:rPr>
      <w:rFonts w:asciiTheme="majorHAnsi" w:hAnsiTheme="majorHAnsi" w:eastAsiaTheme="majorEastAsia" w:cstheme="majorBidi"/>
      <w:b/>
      <w:bCs/>
      <w:sz w:val="28"/>
      <w:szCs w:val="28"/>
    </w:rPr>
  </w:style>
  <w:style w:type="paragraph" w:customStyle="1" w:styleId="82">
    <w:name w:val="TOC 标题1"/>
    <w:basedOn w:val="3"/>
    <w:next w:val="1"/>
    <w:semiHidden/>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character" w:customStyle="1" w:styleId="83">
    <w:name w:val="日期 Char"/>
    <w:basedOn w:val="47"/>
    <w:link w:val="26"/>
    <w:qFormat/>
    <w:uiPriority w:val="0"/>
    <w:rPr>
      <w:kern w:val="2"/>
      <w:sz w:val="21"/>
      <w:szCs w:val="22"/>
    </w:rPr>
  </w:style>
  <w:style w:type="character" w:customStyle="1" w:styleId="84">
    <w:name w:val="标题 5 Char"/>
    <w:basedOn w:val="47"/>
    <w:link w:val="8"/>
    <w:qFormat/>
    <w:uiPriority w:val="0"/>
    <w:rPr>
      <w:rFonts w:ascii="Times New Roman" w:hAnsi="Times New Roman" w:eastAsia="仿宋_GB2312" w:cs="Times New Roman"/>
      <w:b/>
      <w:bCs/>
      <w:sz w:val="28"/>
      <w:szCs w:val="28"/>
    </w:rPr>
  </w:style>
  <w:style w:type="character" w:customStyle="1" w:styleId="85">
    <w:name w:val="标题 6 Char"/>
    <w:basedOn w:val="47"/>
    <w:link w:val="9"/>
    <w:qFormat/>
    <w:uiPriority w:val="0"/>
    <w:rPr>
      <w:rFonts w:ascii="Arial" w:hAnsi="Arial" w:eastAsia="黑体" w:cs="Times New Roman"/>
      <w:b/>
      <w:bCs/>
      <w:sz w:val="24"/>
      <w:szCs w:val="24"/>
    </w:rPr>
  </w:style>
  <w:style w:type="character" w:customStyle="1" w:styleId="86">
    <w:name w:val="标题 7 Char"/>
    <w:basedOn w:val="47"/>
    <w:link w:val="10"/>
    <w:qFormat/>
    <w:uiPriority w:val="0"/>
    <w:rPr>
      <w:rFonts w:ascii="Times New Roman" w:hAnsi="Times New Roman" w:eastAsia="仿宋_GB2312" w:cs="Times New Roman"/>
      <w:b/>
      <w:bCs/>
      <w:sz w:val="24"/>
      <w:szCs w:val="24"/>
    </w:rPr>
  </w:style>
  <w:style w:type="character" w:customStyle="1" w:styleId="87">
    <w:name w:val="标题 8 Char"/>
    <w:basedOn w:val="47"/>
    <w:link w:val="11"/>
    <w:qFormat/>
    <w:uiPriority w:val="0"/>
    <w:rPr>
      <w:rFonts w:ascii="Arial" w:hAnsi="Arial" w:eastAsia="黑体" w:cs="Times New Roman"/>
      <w:sz w:val="24"/>
      <w:szCs w:val="24"/>
    </w:rPr>
  </w:style>
  <w:style w:type="character" w:customStyle="1" w:styleId="88">
    <w:name w:val="标题 9 Char"/>
    <w:basedOn w:val="47"/>
    <w:link w:val="12"/>
    <w:qFormat/>
    <w:uiPriority w:val="0"/>
    <w:rPr>
      <w:rFonts w:ascii="Arial" w:hAnsi="Arial" w:eastAsia="黑体" w:cs="Times New Roman"/>
      <w:szCs w:val="21"/>
    </w:rPr>
  </w:style>
  <w:style w:type="paragraph" w:customStyle="1" w:styleId="89">
    <w:name w:val="_Style 57"/>
    <w:qFormat/>
    <w:uiPriority w:val="99"/>
    <w:pPr>
      <w:widowControl w:val="0"/>
      <w:jc w:val="both"/>
    </w:pPr>
    <w:rPr>
      <w:rFonts w:ascii="Times New Roman" w:hAnsi="Times New Roman" w:eastAsia="宋体" w:cs="Times New Roman"/>
      <w:kern w:val="2"/>
      <w:sz w:val="21"/>
      <w:szCs w:val="24"/>
      <w:lang w:val="en-US" w:eastAsia="zh-CN" w:bidi="ar-SA"/>
    </w:rPr>
  </w:style>
  <w:style w:type="character" w:customStyle="1" w:styleId="90">
    <w:name w:val="页脚 Char1"/>
    <w:semiHidden/>
    <w:qFormat/>
    <w:uiPriority w:val="99"/>
    <w:rPr>
      <w:rFonts w:ascii="Times New Roman" w:hAnsi="Times New Roman" w:eastAsia="宋体" w:cs="Times New Roman"/>
      <w:sz w:val="18"/>
      <w:szCs w:val="18"/>
    </w:rPr>
  </w:style>
  <w:style w:type="character" w:customStyle="1" w:styleId="91">
    <w:name w:val="z-窗体底端 字符"/>
    <w:link w:val="92"/>
    <w:qFormat/>
    <w:uiPriority w:val="0"/>
    <w:rPr>
      <w:rFonts w:ascii="Arial" w:hAnsi="Times New Roman" w:eastAsia="宋体" w:cs="Times New Roman"/>
      <w:vanish/>
      <w:sz w:val="16"/>
      <w:szCs w:val="24"/>
    </w:rPr>
  </w:style>
  <w:style w:type="paragraph" w:customStyle="1" w:styleId="92">
    <w:name w:val="z-窗体底端1"/>
    <w:basedOn w:val="1"/>
    <w:next w:val="1"/>
    <w:link w:val="91"/>
    <w:qFormat/>
    <w:uiPriority w:val="0"/>
    <w:pPr>
      <w:pBdr>
        <w:top w:val="single" w:color="auto" w:sz="6" w:space="1"/>
      </w:pBdr>
      <w:jc w:val="center"/>
    </w:pPr>
    <w:rPr>
      <w:rFonts w:ascii="Arial" w:hAnsi="Times New Roman" w:eastAsia="宋体" w:cs="Times New Roman"/>
      <w:vanish/>
      <w:kern w:val="0"/>
      <w:sz w:val="16"/>
      <w:szCs w:val="24"/>
    </w:rPr>
  </w:style>
  <w:style w:type="character" w:customStyle="1" w:styleId="93">
    <w:name w:val="z-窗体底端 Char1"/>
    <w:basedOn w:val="47"/>
    <w:semiHidden/>
    <w:qFormat/>
    <w:uiPriority w:val="99"/>
    <w:rPr>
      <w:rFonts w:ascii="Arial" w:hAnsi="Arial" w:cs="Arial"/>
      <w:vanish/>
      <w:kern w:val="2"/>
      <w:sz w:val="16"/>
      <w:szCs w:val="16"/>
    </w:rPr>
  </w:style>
  <w:style w:type="character" w:customStyle="1" w:styleId="94">
    <w:name w:val="文档结构图 Char"/>
    <w:link w:val="15"/>
    <w:qFormat/>
    <w:uiPriority w:val="0"/>
    <w:rPr>
      <w:rFonts w:hAnsi="Times New Roman"/>
      <w:sz w:val="18"/>
      <w:szCs w:val="18"/>
    </w:rPr>
  </w:style>
  <w:style w:type="character" w:customStyle="1" w:styleId="95">
    <w:name w:val="文档结构图 Char1"/>
    <w:basedOn w:val="47"/>
    <w:qFormat/>
    <w:uiPriority w:val="0"/>
    <w:rPr>
      <w:rFonts w:ascii="宋体" w:eastAsia="宋体"/>
      <w:kern w:val="2"/>
      <w:sz w:val="18"/>
      <w:szCs w:val="18"/>
    </w:rPr>
  </w:style>
  <w:style w:type="character" w:customStyle="1" w:styleId="96">
    <w:name w:val="日期 Char1"/>
    <w:qFormat/>
    <w:uiPriority w:val="0"/>
    <w:rPr>
      <w:rFonts w:ascii="Times New Roman" w:hAnsi="Times New Roman" w:eastAsia="宋体" w:cs="Times New Roman"/>
      <w:szCs w:val="24"/>
    </w:rPr>
  </w:style>
  <w:style w:type="character" w:customStyle="1" w:styleId="97">
    <w:name w:val="z-窗体顶端 字符"/>
    <w:link w:val="98"/>
    <w:qFormat/>
    <w:uiPriority w:val="0"/>
    <w:rPr>
      <w:rFonts w:ascii="Arial" w:hAnsi="Times New Roman" w:eastAsia="宋体" w:cs="Times New Roman"/>
      <w:vanish/>
      <w:sz w:val="16"/>
      <w:szCs w:val="24"/>
    </w:rPr>
  </w:style>
  <w:style w:type="paragraph" w:customStyle="1" w:styleId="98">
    <w:name w:val="z-窗体顶端1"/>
    <w:basedOn w:val="1"/>
    <w:next w:val="1"/>
    <w:link w:val="97"/>
    <w:qFormat/>
    <w:uiPriority w:val="0"/>
    <w:pPr>
      <w:pBdr>
        <w:bottom w:val="single" w:color="auto" w:sz="6" w:space="1"/>
      </w:pBdr>
      <w:jc w:val="center"/>
    </w:pPr>
    <w:rPr>
      <w:rFonts w:ascii="Arial" w:hAnsi="Times New Roman" w:eastAsia="宋体" w:cs="Times New Roman"/>
      <w:vanish/>
      <w:kern w:val="0"/>
      <w:sz w:val="16"/>
      <w:szCs w:val="24"/>
    </w:rPr>
  </w:style>
  <w:style w:type="character" w:customStyle="1" w:styleId="99">
    <w:name w:val="z-窗体顶端 Char1"/>
    <w:basedOn w:val="47"/>
    <w:semiHidden/>
    <w:qFormat/>
    <w:uiPriority w:val="99"/>
    <w:rPr>
      <w:rFonts w:ascii="Arial" w:hAnsi="Arial" w:cs="Arial"/>
      <w:vanish/>
      <w:kern w:val="2"/>
      <w:sz w:val="16"/>
      <w:szCs w:val="16"/>
    </w:rPr>
  </w:style>
  <w:style w:type="character" w:customStyle="1" w:styleId="100">
    <w:name w:val="日期 Char2"/>
    <w:basedOn w:val="47"/>
    <w:semiHidden/>
    <w:qFormat/>
    <w:uiPriority w:val="99"/>
    <w:rPr>
      <w:rFonts w:ascii="Times New Roman" w:hAnsi="Times New Roman" w:eastAsia="宋体" w:cs="Times New Roman"/>
      <w:szCs w:val="24"/>
    </w:rPr>
  </w:style>
  <w:style w:type="character" w:customStyle="1" w:styleId="101">
    <w:name w:val="正文文本 Char1"/>
    <w:qFormat/>
    <w:uiPriority w:val="0"/>
    <w:rPr>
      <w:rFonts w:ascii="Times New Roman" w:hAnsi="Times New Roman" w:eastAsia="宋体" w:cs="Times New Roman"/>
      <w:szCs w:val="24"/>
    </w:rPr>
  </w:style>
  <w:style w:type="character" w:customStyle="1" w:styleId="102">
    <w:name w:val="副标题 Char1"/>
    <w:qFormat/>
    <w:uiPriority w:val="11"/>
    <w:rPr>
      <w:rFonts w:ascii="Cambria" w:hAnsi="Cambria" w:eastAsia="宋体" w:cs="Times New Roman"/>
      <w:b/>
      <w:bCs/>
      <w:kern w:val="28"/>
      <w:sz w:val="32"/>
      <w:szCs w:val="32"/>
    </w:rPr>
  </w:style>
  <w:style w:type="character" w:customStyle="1" w:styleId="103">
    <w:name w:val="正文文本 3 Char1"/>
    <w:semiHidden/>
    <w:qFormat/>
    <w:uiPriority w:val="99"/>
    <w:rPr>
      <w:rFonts w:ascii="Times New Roman" w:hAnsi="Times New Roman" w:eastAsia="宋体" w:cs="Times New Roman"/>
      <w:sz w:val="16"/>
      <w:szCs w:val="16"/>
    </w:rPr>
  </w:style>
  <w:style w:type="character" w:customStyle="1" w:styleId="104">
    <w:name w:val="正文文本缩进 3 Char"/>
    <w:link w:val="35"/>
    <w:qFormat/>
    <w:uiPriority w:val="0"/>
    <w:rPr>
      <w:rFonts w:ascii="Times New Roman" w:hAnsi="Times New Roman" w:cs="Times New Roman"/>
      <w:sz w:val="16"/>
      <w:szCs w:val="16"/>
    </w:rPr>
  </w:style>
  <w:style w:type="character" w:customStyle="1" w:styleId="105">
    <w:name w:val="正文文本缩进 3 Char1"/>
    <w:basedOn w:val="47"/>
    <w:semiHidden/>
    <w:qFormat/>
    <w:uiPriority w:val="99"/>
    <w:rPr>
      <w:kern w:val="2"/>
      <w:sz w:val="16"/>
      <w:szCs w:val="16"/>
    </w:rPr>
  </w:style>
  <w:style w:type="character" w:customStyle="1" w:styleId="106">
    <w:name w:val="正文文本缩进 Char1"/>
    <w:basedOn w:val="47"/>
    <w:semiHidden/>
    <w:qFormat/>
    <w:uiPriority w:val="99"/>
    <w:rPr>
      <w:rFonts w:ascii="Times New Roman" w:hAnsi="Times New Roman" w:eastAsia="宋体" w:cs="Times New Roman"/>
      <w:szCs w:val="24"/>
    </w:rPr>
  </w:style>
  <w:style w:type="character" w:customStyle="1" w:styleId="107">
    <w:name w:val="正文文本缩进 2 Char"/>
    <w:link w:val="27"/>
    <w:qFormat/>
    <w:uiPriority w:val="0"/>
    <w:rPr>
      <w:rFonts w:ascii="Times New Roman" w:hAnsi="Times New Roman" w:eastAsia="楷体_GB2312" w:cs="Times New Roman"/>
      <w:sz w:val="28"/>
      <w:szCs w:val="24"/>
    </w:rPr>
  </w:style>
  <w:style w:type="character" w:customStyle="1" w:styleId="108">
    <w:name w:val="正文文本缩进 2 Char1"/>
    <w:basedOn w:val="47"/>
    <w:semiHidden/>
    <w:qFormat/>
    <w:uiPriority w:val="99"/>
    <w:rPr>
      <w:kern w:val="2"/>
      <w:sz w:val="21"/>
      <w:szCs w:val="22"/>
    </w:rPr>
  </w:style>
  <w:style w:type="character" w:customStyle="1" w:styleId="109">
    <w:name w:val="批注主题 Char"/>
    <w:link w:val="42"/>
    <w:qFormat/>
    <w:uiPriority w:val="0"/>
    <w:rPr>
      <w:rFonts w:ascii="Times New Roman" w:hAnsi="Times New Roman" w:cs="Times New Roman"/>
      <w:b/>
      <w:bCs/>
      <w:szCs w:val="24"/>
    </w:rPr>
  </w:style>
  <w:style w:type="character" w:customStyle="1" w:styleId="110">
    <w:name w:val="批注主题 Char1"/>
    <w:basedOn w:val="66"/>
    <w:qFormat/>
    <w:uiPriority w:val="0"/>
    <w:rPr>
      <w:b/>
      <w:bCs/>
      <w:kern w:val="2"/>
      <w:sz w:val="21"/>
      <w:szCs w:val="22"/>
    </w:rPr>
  </w:style>
  <w:style w:type="character" w:customStyle="1" w:styleId="111">
    <w:name w:val="正文文本 3 Char2"/>
    <w:basedOn w:val="47"/>
    <w:semiHidden/>
    <w:qFormat/>
    <w:uiPriority w:val="99"/>
    <w:rPr>
      <w:rFonts w:ascii="Times New Roman" w:hAnsi="Times New Roman" w:eastAsia="宋体" w:cs="Times New Roman"/>
      <w:sz w:val="16"/>
      <w:szCs w:val="16"/>
    </w:rPr>
  </w:style>
  <w:style w:type="character" w:customStyle="1" w:styleId="112">
    <w:name w:val="正文文本 Char2"/>
    <w:basedOn w:val="47"/>
    <w:semiHidden/>
    <w:qFormat/>
    <w:uiPriority w:val="99"/>
    <w:rPr>
      <w:rFonts w:ascii="Times New Roman" w:hAnsi="Times New Roman" w:eastAsia="宋体" w:cs="Times New Roman"/>
      <w:szCs w:val="24"/>
    </w:rPr>
  </w:style>
  <w:style w:type="character" w:customStyle="1" w:styleId="113">
    <w:name w:val="批注框文本 Char"/>
    <w:link w:val="28"/>
    <w:qFormat/>
    <w:uiPriority w:val="0"/>
    <w:rPr>
      <w:rFonts w:ascii="Times New Roman" w:hAnsi="Times New Roman" w:cs="Times New Roman"/>
      <w:sz w:val="18"/>
      <w:szCs w:val="18"/>
    </w:rPr>
  </w:style>
  <w:style w:type="character" w:customStyle="1" w:styleId="114">
    <w:name w:val="批注框文本 Char1"/>
    <w:basedOn w:val="47"/>
    <w:qFormat/>
    <w:uiPriority w:val="0"/>
    <w:rPr>
      <w:kern w:val="2"/>
      <w:sz w:val="18"/>
      <w:szCs w:val="18"/>
    </w:rPr>
  </w:style>
  <w:style w:type="character" w:customStyle="1" w:styleId="115">
    <w:name w:val="副标题 Char2"/>
    <w:basedOn w:val="47"/>
    <w:qFormat/>
    <w:uiPriority w:val="11"/>
    <w:rPr>
      <w:rFonts w:eastAsia="宋体" w:asciiTheme="majorHAnsi" w:hAnsiTheme="majorHAnsi" w:cstheme="majorBidi"/>
      <w:b/>
      <w:bCs/>
      <w:kern w:val="28"/>
      <w:sz w:val="32"/>
      <w:szCs w:val="32"/>
    </w:rPr>
  </w:style>
  <w:style w:type="character" w:customStyle="1" w:styleId="116">
    <w:name w:val="标题 Char1"/>
    <w:qFormat/>
    <w:uiPriority w:val="10"/>
    <w:rPr>
      <w:rFonts w:ascii="Cambria" w:hAnsi="Cambria" w:eastAsia="宋体" w:cs="Times New Roman"/>
      <w:b/>
      <w:bCs/>
      <w:sz w:val="32"/>
      <w:szCs w:val="32"/>
    </w:rPr>
  </w:style>
  <w:style w:type="character" w:customStyle="1" w:styleId="117">
    <w:name w:val="标题 Char"/>
    <w:link w:val="41"/>
    <w:qFormat/>
    <w:uiPriority w:val="0"/>
    <w:rPr>
      <w:rFonts w:ascii="Arial" w:hAnsi="Arial" w:cs="Times New Roman"/>
      <w:b/>
      <w:sz w:val="32"/>
    </w:rPr>
  </w:style>
  <w:style w:type="character" w:customStyle="1" w:styleId="118">
    <w:name w:val="标题 Char2"/>
    <w:basedOn w:val="47"/>
    <w:qFormat/>
    <w:uiPriority w:val="10"/>
    <w:rPr>
      <w:rFonts w:eastAsia="宋体" w:asciiTheme="majorHAnsi" w:hAnsiTheme="majorHAnsi" w:cstheme="majorBidi"/>
      <w:b/>
      <w:bCs/>
      <w:kern w:val="2"/>
      <w:sz w:val="32"/>
      <w:szCs w:val="32"/>
    </w:rPr>
  </w:style>
  <w:style w:type="character" w:customStyle="1" w:styleId="119">
    <w:name w:val="15"/>
    <w:qFormat/>
    <w:uiPriority w:val="0"/>
    <w:rPr>
      <w:rFonts w:hint="default" w:ascii="Times New Roman" w:hAnsi="Times New Roman" w:cs="Times New Roman"/>
      <w:color w:val="464445"/>
      <w:u w:val="none"/>
    </w:rPr>
  </w:style>
  <w:style w:type="character" w:customStyle="1" w:styleId="120">
    <w:name w:val="页眉 Char1"/>
    <w:semiHidden/>
    <w:qFormat/>
    <w:uiPriority w:val="99"/>
    <w:rPr>
      <w:rFonts w:ascii="Times New Roman" w:hAnsi="Times New Roman" w:eastAsia="宋体" w:cs="Times New Roman"/>
      <w:sz w:val="18"/>
      <w:szCs w:val="18"/>
    </w:rPr>
  </w:style>
  <w:style w:type="character" w:customStyle="1" w:styleId="121">
    <w:name w:val="纯文本 Char2"/>
    <w:basedOn w:val="47"/>
    <w:semiHidden/>
    <w:qFormat/>
    <w:uiPriority w:val="99"/>
    <w:rPr>
      <w:rFonts w:ascii="宋体" w:hAnsi="Courier New" w:eastAsia="宋体" w:cs="Courier New"/>
      <w:szCs w:val="21"/>
    </w:rPr>
  </w:style>
  <w:style w:type="character" w:customStyle="1" w:styleId="122">
    <w:name w:val="font161"/>
    <w:qFormat/>
    <w:uiPriority w:val="0"/>
    <w:rPr>
      <w:b/>
      <w:bCs/>
      <w:sz w:val="32"/>
      <w:szCs w:val="32"/>
    </w:rPr>
  </w:style>
  <w:style w:type="paragraph" w:customStyle="1" w:styleId="123">
    <w:name w:val="样式 标题 3 + (中文) 黑体 小四 非加粗 段前: 7.8 磅 段后: 0 磅 行距: 固定值 20 磅"/>
    <w:basedOn w:val="6"/>
    <w:qFormat/>
    <w:uiPriority w:val="0"/>
    <w:pPr>
      <w:spacing w:before="0" w:after="0" w:line="400" w:lineRule="exact"/>
    </w:pPr>
    <w:rPr>
      <w:rFonts w:ascii="Times New Roman" w:hAnsi="Times New Roman" w:eastAsia="黑体" w:cs="宋体"/>
      <w:b w:val="0"/>
      <w:bCs w:val="0"/>
      <w:kern w:val="0"/>
      <w:sz w:val="24"/>
      <w:szCs w:val="20"/>
    </w:rPr>
  </w:style>
  <w:style w:type="paragraph" w:customStyle="1" w:styleId="124">
    <w:name w:val="TOC 标题2"/>
    <w:basedOn w:val="3"/>
    <w:next w:val="1"/>
    <w:qFormat/>
    <w:uiPriority w:val="0"/>
    <w:pPr>
      <w:widowControl/>
      <w:spacing w:before="480" w:after="0" w:line="276" w:lineRule="auto"/>
      <w:jc w:val="left"/>
      <w:outlineLvl w:val="9"/>
    </w:pPr>
    <w:rPr>
      <w:rFonts w:ascii="Cambria" w:hAnsi="Cambria" w:eastAsia="宋体" w:cs="Times New Roman"/>
      <w:color w:val="365F91"/>
      <w:kern w:val="0"/>
      <w:sz w:val="28"/>
      <w:szCs w:val="28"/>
    </w:rPr>
  </w:style>
  <w:style w:type="character" w:customStyle="1" w:styleId="125">
    <w:name w:val="标题4 Char Char"/>
    <w:qFormat/>
    <w:locked/>
    <w:uiPriority w:val="0"/>
    <w:rPr>
      <w:rFonts w:ascii="Times New Roman" w:hAnsi="Times New Roman" w:eastAsia="宋体" w:cs="Times New Roman"/>
      <w:szCs w:val="24"/>
    </w:rPr>
  </w:style>
  <w:style w:type="paragraph" w:customStyle="1" w:styleId="126">
    <w:name w:val="zhang"/>
    <w:basedOn w:val="1"/>
    <w:qFormat/>
    <w:uiPriority w:val="0"/>
    <w:pPr>
      <w:spacing w:before="100" w:beforeAutospacing="1" w:after="100" w:afterAutospacing="1"/>
    </w:pPr>
    <w:rPr>
      <w:rFonts w:ascii="Times New Roman" w:hAnsi="Times New Roman" w:eastAsia="宋体" w:cs="Times New Roman"/>
      <w:b/>
      <w:bCs/>
      <w:smallCaps/>
      <w:color w:val="000000"/>
      <w:sz w:val="20"/>
      <w:szCs w:val="20"/>
    </w:rPr>
  </w:style>
  <w:style w:type="paragraph" w:customStyle="1" w:styleId="127">
    <w:name w:val="_Style 4"/>
    <w:basedOn w:val="3"/>
    <w:next w:val="1"/>
    <w:qFormat/>
    <w:uiPriority w:val="0"/>
    <w:pPr>
      <w:spacing w:line="576" w:lineRule="auto"/>
      <w:outlineLvl w:val="9"/>
    </w:pPr>
    <w:rPr>
      <w:rFonts w:ascii="Calibri" w:hAnsi="Calibri" w:eastAsia="宋体" w:cs="Times New Roman"/>
    </w:rPr>
  </w:style>
  <w:style w:type="paragraph" w:customStyle="1" w:styleId="128">
    <w:name w:val="p0"/>
    <w:basedOn w:val="1"/>
    <w:qFormat/>
    <w:uiPriority w:val="0"/>
    <w:rPr>
      <w:rFonts w:ascii="Times New Roman" w:hAnsi="Times New Roman" w:eastAsia="宋体" w:cs="Times New Roman"/>
      <w:szCs w:val="21"/>
    </w:rPr>
  </w:style>
  <w:style w:type="paragraph" w:customStyle="1" w:styleId="129">
    <w:name w:val="表格"/>
    <w:basedOn w:val="1"/>
    <w:qFormat/>
    <w:uiPriority w:val="0"/>
    <w:pPr>
      <w:jc w:val="center"/>
      <w:textAlignment w:val="center"/>
    </w:pPr>
    <w:rPr>
      <w:rFonts w:ascii="华文细黑" w:hAnsi="华文细黑" w:eastAsia="宋体" w:cs="Times New Roman"/>
      <w:kern w:val="0"/>
      <w:szCs w:val="20"/>
    </w:rPr>
  </w:style>
  <w:style w:type="paragraph" w:customStyle="1" w:styleId="130">
    <w:name w:val="表格文字"/>
    <w:basedOn w:val="1"/>
    <w:qFormat/>
    <w:uiPriority w:val="0"/>
    <w:pPr>
      <w:adjustRightInd w:val="0"/>
      <w:spacing w:line="420" w:lineRule="atLeast"/>
      <w:jc w:val="left"/>
      <w:textAlignment w:val="baseline"/>
    </w:pPr>
    <w:rPr>
      <w:rFonts w:ascii="Times New Roman" w:hAnsi="Times New Roman" w:eastAsia="宋体" w:cs="Times New Roman"/>
      <w:kern w:val="0"/>
      <w:szCs w:val="20"/>
    </w:rPr>
  </w:style>
  <w:style w:type="paragraph" w:customStyle="1" w:styleId="131">
    <w:name w:val="1"/>
    <w:basedOn w:val="1"/>
    <w:qFormat/>
    <w:uiPriority w:val="0"/>
    <w:rPr>
      <w:rFonts w:ascii="Times New Roman" w:hAnsi="Times New Roman" w:eastAsia="宋体" w:cs="Times New Roman"/>
      <w:szCs w:val="24"/>
    </w:rPr>
  </w:style>
  <w:style w:type="paragraph" w:customStyle="1" w:styleId="132">
    <w:name w:val="6'"/>
    <w:basedOn w:val="1"/>
    <w:qFormat/>
    <w:uiPriority w:val="0"/>
    <w:pPr>
      <w:autoSpaceDE w:val="0"/>
      <w:autoSpaceDN w:val="0"/>
      <w:adjustRightInd w:val="0"/>
      <w:snapToGrid w:val="0"/>
      <w:spacing w:line="320" w:lineRule="exact"/>
      <w:jc w:val="center"/>
      <w:textAlignment w:val="baseline"/>
    </w:pPr>
    <w:rPr>
      <w:rFonts w:ascii="Times New Roman" w:hAnsi="Times New Roman" w:eastAsia="宋体" w:cs="Times New Roman"/>
      <w:spacing w:val="20"/>
      <w:kern w:val="28"/>
      <w:szCs w:val="20"/>
    </w:rPr>
  </w:style>
  <w:style w:type="paragraph" w:customStyle="1" w:styleId="133">
    <w:name w:val="Char Char10 Char"/>
    <w:basedOn w:val="1"/>
    <w:qFormat/>
    <w:uiPriority w:val="0"/>
    <w:rPr>
      <w:rFonts w:ascii="Times New Roman" w:hAnsi="Times New Roman" w:eastAsia="宋体" w:cs="Times New Roman"/>
      <w:szCs w:val="24"/>
    </w:rPr>
  </w:style>
  <w:style w:type="paragraph" w:customStyle="1" w:styleId="134">
    <w:name w:val="样式 标题 1 + 黑体 三号 非加粗 居中 段前: 6 磅 段后: 6 磅 行距: 固定值 20 磅"/>
    <w:basedOn w:val="3"/>
    <w:qFormat/>
    <w:uiPriority w:val="0"/>
    <w:pPr>
      <w:spacing w:before="120" w:after="120" w:line="400" w:lineRule="exact"/>
      <w:jc w:val="center"/>
    </w:pPr>
    <w:rPr>
      <w:rFonts w:ascii="黑体" w:hAnsi="黑体" w:eastAsia="黑体" w:cs="宋体"/>
      <w:b w:val="0"/>
      <w:bCs w:val="0"/>
      <w:sz w:val="32"/>
      <w:szCs w:val="20"/>
    </w:rPr>
  </w:style>
  <w:style w:type="paragraph" w:customStyle="1" w:styleId="135">
    <w:name w:val="正文文本缩进1"/>
    <w:basedOn w:val="1"/>
    <w:qFormat/>
    <w:uiPriority w:val="0"/>
    <w:pPr>
      <w:snapToGrid w:val="0"/>
      <w:spacing w:after="120" w:line="360" w:lineRule="auto"/>
      <w:ind w:left="420" w:leftChars="200" w:firstLine="560" w:firstLineChars="200"/>
      <w:jc w:val="left"/>
    </w:pPr>
    <w:rPr>
      <w:rFonts w:ascii="仿宋" w:hAnsi="仿宋" w:eastAsia="仿宋" w:cs="仿宋"/>
      <w:color w:val="000000"/>
      <w:szCs w:val="28"/>
    </w:rPr>
  </w:style>
  <w:style w:type="paragraph" w:customStyle="1" w:styleId="136">
    <w:name w:val="样式 标题 2 + Times New Roman 四号 非加粗 段前: 5 磅 段后: 0 磅 行距: 固定值 20..."/>
    <w:basedOn w:val="4"/>
    <w:qFormat/>
    <w:uiPriority w:val="0"/>
    <w:pPr>
      <w:tabs>
        <w:tab w:val="clear" w:pos="840"/>
      </w:tabs>
      <w:spacing w:before="100" w:after="0" w:line="400" w:lineRule="exact"/>
      <w:jc w:val="both"/>
    </w:pPr>
    <w:rPr>
      <w:rFonts w:ascii="Times New Roman" w:hAnsi="Times New Roman" w:cs="宋体"/>
      <w:b w:val="0"/>
      <w:kern w:val="0"/>
      <w:sz w:val="28"/>
    </w:rPr>
  </w:style>
  <w:style w:type="paragraph" w:customStyle="1" w:styleId="137">
    <w:name w:val="Char"/>
    <w:basedOn w:val="1"/>
    <w:qFormat/>
    <w:uiPriority w:val="0"/>
    <w:pPr>
      <w:tabs>
        <w:tab w:val="left" w:pos="360"/>
      </w:tabs>
    </w:pPr>
    <w:rPr>
      <w:rFonts w:ascii="Times New Roman" w:hAnsi="Times New Roman" w:eastAsia="宋体" w:cs="Times New Roman"/>
      <w:sz w:val="24"/>
      <w:szCs w:val="24"/>
    </w:rPr>
  </w:style>
  <w:style w:type="paragraph" w:customStyle="1" w:styleId="138">
    <w:name w:val="Char1"/>
    <w:basedOn w:val="1"/>
    <w:qFormat/>
    <w:uiPriority w:val="0"/>
    <w:pPr>
      <w:widowControl/>
      <w:spacing w:after="160" w:line="240" w:lineRule="exact"/>
      <w:jc w:val="left"/>
    </w:pPr>
    <w:rPr>
      <w:rFonts w:ascii="宋体" w:hAnsi="宋体" w:eastAsia="宋体" w:cs="Times New Roman"/>
      <w:kern w:val="0"/>
      <w:sz w:val="20"/>
      <w:szCs w:val="20"/>
      <w:lang w:eastAsia="en-US"/>
    </w:rPr>
  </w:style>
  <w:style w:type="paragraph" w:customStyle="1" w:styleId="139">
    <w:name w:val="Char2"/>
    <w:basedOn w:val="1"/>
    <w:qFormat/>
    <w:uiPriority w:val="0"/>
    <w:pPr>
      <w:ind w:left="567" w:hanging="283"/>
    </w:pPr>
    <w:rPr>
      <w:rFonts w:ascii="宋体" w:hAnsi="宋体" w:eastAsia="宋体" w:cs="Times New Roman"/>
      <w:sz w:val="28"/>
      <w:szCs w:val="24"/>
    </w:rPr>
  </w:style>
  <w:style w:type="paragraph" w:customStyle="1" w:styleId="140">
    <w:name w:val="列出段落1"/>
    <w:basedOn w:val="1"/>
    <w:qFormat/>
    <w:uiPriority w:val="0"/>
    <w:pPr>
      <w:spacing w:line="360" w:lineRule="auto"/>
      <w:ind w:left="200" w:leftChars="200" w:firstLine="420" w:firstLineChars="200"/>
      <w:jc w:val="left"/>
    </w:pPr>
    <w:rPr>
      <w:rFonts w:ascii="Times New Roman" w:hAnsi="Times New Roman" w:eastAsia="宋体" w:cs="Times New Roman"/>
      <w:sz w:val="24"/>
    </w:rPr>
  </w:style>
  <w:style w:type="character" w:customStyle="1" w:styleId="141">
    <w:name w:val="明显强调1"/>
    <w:qFormat/>
    <w:uiPriority w:val="0"/>
    <w:rPr>
      <w:b/>
      <w:bCs/>
      <w:i/>
      <w:iCs/>
      <w:color w:val="4F81BD"/>
    </w:rPr>
  </w:style>
  <w:style w:type="character" w:customStyle="1" w:styleId="142">
    <w:name w:val="Char Char6"/>
    <w:qFormat/>
    <w:uiPriority w:val="0"/>
    <w:rPr>
      <w:rFonts w:ascii="宋体" w:hAnsi="Courier New" w:eastAsia="宋体" w:cs="Courier New"/>
      <w:kern w:val="2"/>
      <w:sz w:val="21"/>
      <w:szCs w:val="21"/>
      <w:lang w:val="en-US" w:eastAsia="zh-CN" w:bidi="ar-SA"/>
    </w:rPr>
  </w:style>
  <w:style w:type="character" w:customStyle="1" w:styleId="143">
    <w:name w:val="Intense Quote Char"/>
    <w:link w:val="144"/>
    <w:qFormat/>
    <w:locked/>
    <w:uiPriority w:val="0"/>
    <w:rPr>
      <w:b/>
      <w:bCs/>
      <w:i/>
      <w:iCs/>
      <w:color w:val="4F81BD"/>
      <w:sz w:val="22"/>
    </w:rPr>
  </w:style>
  <w:style w:type="paragraph" w:customStyle="1" w:styleId="144">
    <w:name w:val="明显引用1"/>
    <w:basedOn w:val="1"/>
    <w:next w:val="1"/>
    <w:link w:val="143"/>
    <w:qFormat/>
    <w:uiPriority w:val="0"/>
    <w:pPr>
      <w:pBdr>
        <w:bottom w:val="single" w:color="4F81BD" w:sz="4" w:space="4"/>
      </w:pBdr>
      <w:spacing w:before="200" w:after="280"/>
      <w:ind w:left="936" w:right="936"/>
    </w:pPr>
    <w:rPr>
      <w:b/>
      <w:bCs/>
      <w:i/>
      <w:iCs/>
      <w:color w:val="4F81BD"/>
      <w:kern w:val="0"/>
      <w:sz w:val="22"/>
      <w:szCs w:val="20"/>
    </w:rPr>
  </w:style>
  <w:style w:type="character" w:customStyle="1" w:styleId="145">
    <w:name w:val="Quote Char1"/>
    <w:qFormat/>
    <w:uiPriority w:val="0"/>
    <w:rPr>
      <w:rFonts w:cs="Calibri"/>
      <w:i/>
      <w:iCs/>
      <w:color w:val="000000"/>
      <w:szCs w:val="21"/>
    </w:rPr>
  </w:style>
  <w:style w:type="character" w:customStyle="1" w:styleId="146">
    <w:name w:val="不明显参考1"/>
    <w:qFormat/>
    <w:uiPriority w:val="0"/>
    <w:rPr>
      <w:smallCaps/>
      <w:color w:val="auto"/>
      <w:u w:val="single"/>
    </w:rPr>
  </w:style>
  <w:style w:type="character" w:customStyle="1" w:styleId="147">
    <w:name w:val="textcontents"/>
    <w:qFormat/>
    <w:uiPriority w:val="0"/>
  </w:style>
  <w:style w:type="character" w:customStyle="1" w:styleId="148">
    <w:name w:val="Char Char7"/>
    <w:qFormat/>
    <w:uiPriority w:val="0"/>
    <w:rPr>
      <w:sz w:val="21"/>
      <w:lang w:bidi="ar-SA"/>
    </w:rPr>
  </w:style>
  <w:style w:type="character" w:customStyle="1" w:styleId="149">
    <w:name w:val="标题5 Char Char"/>
    <w:link w:val="150"/>
    <w:qFormat/>
    <w:locked/>
    <w:uiPriority w:val="0"/>
    <w:rPr>
      <w:rFonts w:ascii="Arial" w:hAnsi="Arial"/>
      <w:b/>
      <w:bCs/>
      <w:sz w:val="32"/>
      <w:szCs w:val="32"/>
    </w:rPr>
  </w:style>
  <w:style w:type="paragraph" w:customStyle="1" w:styleId="150">
    <w:name w:val="标题5"/>
    <w:basedOn w:val="6"/>
    <w:link w:val="149"/>
    <w:qFormat/>
    <w:uiPriority w:val="0"/>
    <w:pPr>
      <w:spacing w:line="413" w:lineRule="auto"/>
    </w:pPr>
    <w:rPr>
      <w:rFonts w:ascii="Arial" w:hAnsi="Arial"/>
      <w:kern w:val="0"/>
    </w:rPr>
  </w:style>
  <w:style w:type="character" w:customStyle="1" w:styleId="151">
    <w:name w:val="Quote Char"/>
    <w:link w:val="152"/>
    <w:qFormat/>
    <w:locked/>
    <w:uiPriority w:val="0"/>
    <w:rPr>
      <w:i/>
      <w:iCs/>
      <w:color w:val="000000"/>
      <w:sz w:val="22"/>
    </w:rPr>
  </w:style>
  <w:style w:type="paragraph" w:customStyle="1" w:styleId="152">
    <w:name w:val="引用1"/>
    <w:basedOn w:val="1"/>
    <w:next w:val="1"/>
    <w:link w:val="151"/>
    <w:qFormat/>
    <w:uiPriority w:val="0"/>
    <w:rPr>
      <w:i/>
      <w:iCs/>
      <w:color w:val="000000"/>
      <w:kern w:val="0"/>
      <w:sz w:val="22"/>
      <w:szCs w:val="20"/>
    </w:rPr>
  </w:style>
  <w:style w:type="character" w:customStyle="1" w:styleId="153">
    <w:name w:val="Char Char11"/>
    <w:qFormat/>
    <w:uiPriority w:val="0"/>
    <w:rPr>
      <w:rFonts w:eastAsia="宋体"/>
      <w:b/>
      <w:bCs/>
      <w:kern w:val="2"/>
      <w:sz w:val="32"/>
      <w:szCs w:val="32"/>
      <w:lang w:val="en-US" w:eastAsia="zh-CN" w:bidi="ar-SA"/>
    </w:rPr>
  </w:style>
  <w:style w:type="character" w:customStyle="1" w:styleId="154">
    <w:name w:val="Char Char15"/>
    <w:qFormat/>
    <w:locked/>
    <w:uiPriority w:val="0"/>
    <w:rPr>
      <w:rFonts w:ascii="Cambria" w:hAnsi="Cambria" w:eastAsia="宋体" w:cs="Cambria"/>
      <w:b/>
      <w:bCs/>
      <w:kern w:val="2"/>
      <w:sz w:val="28"/>
      <w:szCs w:val="28"/>
    </w:rPr>
  </w:style>
  <w:style w:type="character" w:customStyle="1" w:styleId="155">
    <w:name w:val="Char Char12"/>
    <w:qFormat/>
    <w:uiPriority w:val="0"/>
    <w:rPr>
      <w:rFonts w:ascii="Arial" w:hAnsi="Arial" w:eastAsia="黑体"/>
      <w:b/>
      <w:kern w:val="2"/>
      <w:sz w:val="32"/>
      <w:lang w:val="en-US" w:eastAsia="zh-CN" w:bidi="ar-SA"/>
    </w:rPr>
  </w:style>
  <w:style w:type="character" w:customStyle="1" w:styleId="156">
    <w:name w:val="样式 标书正文 + 下划线 Char"/>
    <w:qFormat/>
    <w:uiPriority w:val="0"/>
    <w:rPr>
      <w:rFonts w:eastAsia="楷体_GB2312"/>
      <w:kern w:val="2"/>
      <w:sz w:val="28"/>
      <w:u w:val="single"/>
      <w:lang w:val="en-US" w:eastAsia="zh-CN"/>
    </w:rPr>
  </w:style>
  <w:style w:type="character" w:customStyle="1" w:styleId="157">
    <w:name w:val="Char Char16"/>
    <w:qFormat/>
    <w:locked/>
    <w:uiPriority w:val="0"/>
    <w:rPr>
      <w:b/>
      <w:bCs/>
      <w:kern w:val="2"/>
      <w:sz w:val="32"/>
      <w:szCs w:val="32"/>
    </w:rPr>
  </w:style>
  <w:style w:type="character" w:customStyle="1" w:styleId="158">
    <w:name w:val="Title Char1"/>
    <w:qFormat/>
    <w:uiPriority w:val="0"/>
    <w:rPr>
      <w:rFonts w:ascii="Cambria" w:hAnsi="Cambria" w:cs="Times New Roman"/>
      <w:b/>
      <w:bCs/>
      <w:sz w:val="32"/>
      <w:szCs w:val="32"/>
    </w:rPr>
  </w:style>
  <w:style w:type="character" w:customStyle="1" w:styleId="159">
    <w:name w:val="Char Char2"/>
    <w:qFormat/>
    <w:uiPriority w:val="0"/>
    <w:rPr>
      <w:rFonts w:ascii="Arial" w:hAnsi="Arial" w:eastAsia="黑体"/>
      <w:b/>
      <w:bCs/>
      <w:kern w:val="2"/>
      <w:sz w:val="32"/>
      <w:szCs w:val="32"/>
      <w:lang w:val="en-US" w:eastAsia="zh-CN" w:bidi="ar-SA"/>
    </w:rPr>
  </w:style>
  <w:style w:type="character" w:customStyle="1" w:styleId="160">
    <w:name w:val="Char Char18"/>
    <w:qFormat/>
    <w:locked/>
    <w:uiPriority w:val="0"/>
    <w:rPr>
      <w:b/>
      <w:bCs/>
      <w:kern w:val="44"/>
      <w:sz w:val="44"/>
      <w:szCs w:val="44"/>
    </w:rPr>
  </w:style>
  <w:style w:type="character" w:customStyle="1" w:styleId="161">
    <w:name w:val="Char Char17"/>
    <w:qFormat/>
    <w:locked/>
    <w:uiPriority w:val="0"/>
    <w:rPr>
      <w:rFonts w:ascii="Cambria" w:hAnsi="Cambria" w:eastAsia="宋体" w:cs="Cambria"/>
      <w:b/>
      <w:bCs/>
      <w:kern w:val="2"/>
      <w:sz w:val="32"/>
      <w:szCs w:val="32"/>
    </w:rPr>
  </w:style>
  <w:style w:type="character" w:customStyle="1" w:styleId="162">
    <w:name w:val="不明显强调1"/>
    <w:qFormat/>
    <w:uiPriority w:val="0"/>
    <w:rPr>
      <w:i/>
      <w:iCs/>
      <w:color w:val="808080"/>
    </w:rPr>
  </w:style>
  <w:style w:type="character" w:customStyle="1" w:styleId="163">
    <w:name w:val="明显参考1"/>
    <w:qFormat/>
    <w:uiPriority w:val="0"/>
    <w:rPr>
      <w:b/>
      <w:bCs/>
      <w:smallCaps/>
      <w:color w:val="auto"/>
      <w:spacing w:val="5"/>
      <w:u w:val="single"/>
    </w:rPr>
  </w:style>
  <w:style w:type="character" w:customStyle="1" w:styleId="164">
    <w:name w:val="Char Char14"/>
    <w:qFormat/>
    <w:locked/>
    <w:uiPriority w:val="0"/>
    <w:rPr>
      <w:b/>
      <w:bCs/>
      <w:kern w:val="2"/>
      <w:sz w:val="28"/>
      <w:szCs w:val="28"/>
    </w:rPr>
  </w:style>
  <w:style w:type="character" w:customStyle="1" w:styleId="165">
    <w:name w:val="书籍标题1"/>
    <w:qFormat/>
    <w:uiPriority w:val="0"/>
    <w:rPr>
      <w:b/>
      <w:bCs/>
      <w:smallCaps/>
      <w:spacing w:val="5"/>
    </w:rPr>
  </w:style>
  <w:style w:type="character" w:customStyle="1" w:styleId="166">
    <w:name w:val="Intense Quote Char1"/>
    <w:qFormat/>
    <w:uiPriority w:val="0"/>
    <w:rPr>
      <w:rFonts w:cs="Calibri"/>
      <w:b/>
      <w:bCs/>
      <w:i/>
      <w:iCs/>
      <w:color w:val="4F81BD"/>
      <w:szCs w:val="21"/>
    </w:rPr>
  </w:style>
  <w:style w:type="character" w:customStyle="1" w:styleId="167">
    <w:name w:val="批注文字 Char Char"/>
    <w:qFormat/>
    <w:uiPriority w:val="0"/>
    <w:rPr>
      <w:rFonts w:ascii="宋体" w:hAnsi="Times New Roman" w:eastAsia="宋体" w:cs="宋体"/>
      <w:sz w:val="20"/>
      <w:szCs w:val="20"/>
    </w:rPr>
  </w:style>
  <w:style w:type="paragraph" w:customStyle="1" w:styleId="168">
    <w:name w:val="Char Char Char"/>
    <w:basedOn w:val="1"/>
    <w:qFormat/>
    <w:uiPriority w:val="0"/>
    <w:pPr>
      <w:adjustRightInd w:val="0"/>
      <w:spacing w:line="360" w:lineRule="atLeast"/>
    </w:pPr>
    <w:rPr>
      <w:rFonts w:ascii="Times New Roman" w:hAnsi="Times New Roman" w:eastAsia="宋体" w:cs="Times New Roman"/>
      <w:szCs w:val="24"/>
    </w:rPr>
  </w:style>
  <w:style w:type="paragraph" w:customStyle="1" w:styleId="169">
    <w:name w:val="表格标题"/>
    <w:basedOn w:val="1"/>
    <w:qFormat/>
    <w:uiPriority w:val="0"/>
    <w:pPr>
      <w:adjustRightInd w:val="0"/>
      <w:snapToGrid w:val="0"/>
      <w:spacing w:line="480" w:lineRule="exact"/>
      <w:ind w:left="508" w:leftChars="1" w:right="113" w:hanging="505"/>
      <w:jc w:val="center"/>
    </w:pPr>
    <w:rPr>
      <w:rFonts w:ascii="宋体" w:hAnsi="Times New Roman" w:eastAsia="黑体" w:cs="Times New Roman"/>
      <w:sz w:val="36"/>
      <w:szCs w:val="28"/>
    </w:rPr>
  </w:style>
  <w:style w:type="paragraph" w:customStyle="1" w:styleId="170">
    <w:name w:val="1 Char"/>
    <w:basedOn w:val="1"/>
    <w:qFormat/>
    <w:uiPriority w:val="0"/>
    <w:rPr>
      <w:rFonts w:ascii="Tahoma" w:hAnsi="Tahoma" w:eastAsia="宋体" w:cs="Times New Roman"/>
      <w:sz w:val="24"/>
      <w:szCs w:val="20"/>
    </w:rPr>
  </w:style>
  <w:style w:type="paragraph" w:customStyle="1" w:styleId="171">
    <w:name w:val="TOC 标题21"/>
    <w:basedOn w:val="3"/>
    <w:next w:val="1"/>
    <w:qFormat/>
    <w:uiPriority w:val="0"/>
    <w:pPr>
      <w:spacing w:line="576" w:lineRule="auto"/>
      <w:outlineLvl w:val="9"/>
    </w:pPr>
    <w:rPr>
      <w:rFonts w:ascii="Calibri" w:hAnsi="Calibri" w:eastAsia="宋体" w:cs="Calibri"/>
    </w:rPr>
  </w:style>
  <w:style w:type="paragraph" w:styleId="172">
    <w:name w:val="List Paragraph"/>
    <w:basedOn w:val="1"/>
    <w:qFormat/>
    <w:uiPriority w:val="0"/>
    <w:pPr>
      <w:ind w:firstLine="420" w:firstLineChars="200"/>
    </w:pPr>
    <w:rPr>
      <w:rFonts w:ascii="Calibri" w:hAnsi="Calibri" w:eastAsia="宋体" w:cs="Times New Roman"/>
      <w:szCs w:val="20"/>
    </w:rPr>
  </w:style>
  <w:style w:type="paragraph" w:customStyle="1" w:styleId="173">
    <w:name w:val="标题4 11"/>
    <w:basedOn w:val="6"/>
    <w:qFormat/>
    <w:uiPriority w:val="0"/>
    <w:pPr>
      <w:tabs>
        <w:tab w:val="left" w:pos="567"/>
      </w:tabs>
      <w:spacing w:line="413" w:lineRule="auto"/>
      <w:ind w:left="840" w:hanging="420"/>
    </w:pPr>
    <w:rPr>
      <w:rFonts w:ascii="Times New Roman" w:hAnsi="Times New Roman" w:eastAsia="宋体" w:cs="Times New Roman"/>
      <w:b w:val="0"/>
      <w:sz w:val="28"/>
      <w:szCs w:val="28"/>
    </w:rPr>
  </w:style>
  <w:style w:type="paragraph" w:customStyle="1" w:styleId="174">
    <w:name w:val="1）"/>
    <w:basedOn w:val="1"/>
    <w:next w:val="1"/>
    <w:qFormat/>
    <w:uiPriority w:val="0"/>
    <w:pPr>
      <w:adjustRightInd w:val="0"/>
      <w:snapToGrid w:val="0"/>
      <w:textAlignment w:val="center"/>
    </w:pPr>
    <w:rPr>
      <w:rFonts w:ascii="Times New Roman" w:hAnsi="Times New Roman" w:eastAsia="宋体" w:cs="Times New Roman"/>
      <w:kern w:val="0"/>
      <w:sz w:val="24"/>
      <w:szCs w:val="20"/>
    </w:rPr>
  </w:style>
  <w:style w:type="paragraph" w:customStyle="1" w:styleId="175">
    <w:name w:val="标题5 1"/>
    <w:basedOn w:val="173"/>
    <w:qFormat/>
    <w:uiPriority w:val="0"/>
    <w:pPr>
      <w:tabs>
        <w:tab w:val="left" w:pos="709"/>
        <w:tab w:val="clear" w:pos="567"/>
      </w:tabs>
      <w:outlineLvl w:val="4"/>
    </w:pPr>
    <w:rPr>
      <w:b/>
      <w:sz w:val="24"/>
      <w:szCs w:val="24"/>
    </w:rPr>
  </w:style>
  <w:style w:type="paragraph" w:customStyle="1" w:styleId="176">
    <w:name w:val="二级标题"/>
    <w:basedOn w:val="177"/>
    <w:qFormat/>
    <w:uiPriority w:val="0"/>
    <w:pPr>
      <w:jc w:val="both"/>
    </w:pPr>
  </w:style>
  <w:style w:type="paragraph" w:customStyle="1" w:styleId="177">
    <w:name w:val="一级标题"/>
    <w:basedOn w:val="3"/>
    <w:qFormat/>
    <w:uiPriority w:val="0"/>
    <w:pPr>
      <w:spacing w:before="0" w:after="0" w:line="240" w:lineRule="auto"/>
      <w:jc w:val="center"/>
    </w:pPr>
    <w:rPr>
      <w:rFonts w:ascii="Times New Roman" w:hAnsi="Times New Roman" w:eastAsia="黑体" w:cs="Times New Roman"/>
      <w:b w:val="0"/>
      <w:sz w:val="28"/>
    </w:rPr>
  </w:style>
  <w:style w:type="paragraph" w:customStyle="1" w:styleId="178">
    <w:name w:val="样式1"/>
    <w:basedOn w:val="6"/>
    <w:qFormat/>
    <w:uiPriority w:val="0"/>
    <w:pPr>
      <w:tabs>
        <w:tab w:val="left" w:pos="425"/>
      </w:tabs>
      <w:spacing w:line="413" w:lineRule="auto"/>
      <w:ind w:left="425" w:hanging="425"/>
    </w:pPr>
    <w:rPr>
      <w:rFonts w:ascii="Times New Roman" w:hAnsi="Times New Roman" w:eastAsia="宋体" w:cs="Times New Roman"/>
      <w:bCs w:val="0"/>
      <w:szCs w:val="20"/>
    </w:rPr>
  </w:style>
  <w:style w:type="paragraph" w:customStyle="1" w:styleId="179">
    <w:name w:val="景逢春公文样式"/>
    <w:basedOn w:val="1"/>
    <w:qFormat/>
    <w:uiPriority w:val="0"/>
    <w:pPr>
      <w:spacing w:line="360" w:lineRule="auto"/>
    </w:pPr>
    <w:rPr>
      <w:rFonts w:ascii="Albertus" w:hAnsi="Albertus" w:eastAsia="仿宋_GB2312" w:cs="Times New Roman"/>
      <w:sz w:val="28"/>
      <w:szCs w:val="20"/>
    </w:rPr>
  </w:style>
  <w:style w:type="paragraph" w:customStyle="1" w:styleId="180">
    <w:name w:val="样式 一级项标 + 首行缩进:  2 字符 段前: 0.5 行1"/>
    <w:basedOn w:val="1"/>
    <w:qFormat/>
    <w:uiPriority w:val="0"/>
    <w:pPr>
      <w:spacing w:beforeLines="50" w:line="480" w:lineRule="exact"/>
      <w:ind w:firstLine="455" w:firstLineChars="200"/>
    </w:pPr>
    <w:rPr>
      <w:rFonts w:ascii="Times New Roman" w:hAnsi="Times New Roman" w:eastAsia="黑体" w:cs="Times New Roman"/>
      <w:b/>
      <w:bCs/>
      <w:sz w:val="24"/>
      <w:szCs w:val="20"/>
    </w:rPr>
  </w:style>
  <w:style w:type="paragraph" w:customStyle="1" w:styleId="181">
    <w:name w:val="flNote"/>
    <w:basedOn w:val="1"/>
    <w:qFormat/>
    <w:uiPriority w:val="0"/>
    <w:pPr>
      <w:adjustRightInd w:val="0"/>
      <w:spacing w:before="320" w:after="160" w:line="360" w:lineRule="atLeast"/>
      <w:jc w:val="center"/>
      <w:textAlignment w:val="baseline"/>
    </w:pPr>
    <w:rPr>
      <w:rFonts w:ascii="Arial" w:hAnsi="Times New Roman" w:eastAsia="黑体" w:cs="Arial"/>
      <w:kern w:val="0"/>
      <w:sz w:val="30"/>
      <w:szCs w:val="30"/>
    </w:rPr>
  </w:style>
  <w:style w:type="paragraph" w:customStyle="1" w:styleId="182">
    <w:name w:val="Blockquote"/>
    <w:basedOn w:val="1"/>
    <w:qFormat/>
    <w:uiPriority w:val="0"/>
    <w:pPr>
      <w:autoSpaceDE w:val="0"/>
      <w:autoSpaceDN w:val="0"/>
      <w:adjustRightInd w:val="0"/>
      <w:spacing w:before="100" w:after="100"/>
      <w:ind w:left="360" w:right="360"/>
      <w:jc w:val="left"/>
    </w:pPr>
    <w:rPr>
      <w:rFonts w:ascii="Times New Roman" w:hAnsi="Times New Roman" w:eastAsia="宋体" w:cs="Times New Roman"/>
      <w:kern w:val="0"/>
      <w:sz w:val="24"/>
      <w:szCs w:val="20"/>
    </w:rPr>
  </w:style>
  <w:style w:type="paragraph" w:customStyle="1" w:styleId="183">
    <w:name w:val="Char4"/>
    <w:basedOn w:val="1"/>
    <w:qFormat/>
    <w:uiPriority w:val="0"/>
    <w:rPr>
      <w:rFonts w:ascii="Times New Roman" w:hAnsi="Times New Roman" w:eastAsia="宋体" w:cs="Times New Roman"/>
      <w:szCs w:val="24"/>
    </w:rPr>
  </w:style>
  <w:style w:type="paragraph" w:customStyle="1" w:styleId="184">
    <w:name w:val="Char Char Char Char"/>
    <w:basedOn w:val="1"/>
    <w:qFormat/>
    <w:uiPriority w:val="0"/>
    <w:rPr>
      <w:rFonts w:ascii="Tahoma" w:hAnsi="Tahoma" w:eastAsia="宋体" w:cs="Times New Roman"/>
      <w:sz w:val="24"/>
      <w:szCs w:val="20"/>
    </w:rPr>
  </w:style>
  <w:style w:type="paragraph" w:customStyle="1" w:styleId="185">
    <w:name w:val="空半行"/>
    <w:basedOn w:val="1"/>
    <w:qFormat/>
    <w:uiPriority w:val="0"/>
    <w:pPr>
      <w:adjustRightInd w:val="0"/>
      <w:spacing w:line="120" w:lineRule="exact"/>
      <w:textAlignment w:val="baseline"/>
    </w:pPr>
    <w:rPr>
      <w:rFonts w:ascii="Times New Roman" w:hAnsi="Times New Roman" w:eastAsia="仿宋_GB2312" w:cs="Times New Roman"/>
      <w:color w:val="FFFFFF"/>
      <w:kern w:val="0"/>
      <w:sz w:val="30"/>
      <w:szCs w:val="30"/>
    </w:rPr>
  </w:style>
  <w:style w:type="paragraph" w:customStyle="1" w:styleId="186">
    <w:name w:val="标题3-1"/>
    <w:basedOn w:val="6"/>
    <w:qFormat/>
    <w:uiPriority w:val="0"/>
    <w:pPr>
      <w:tabs>
        <w:tab w:val="left" w:pos="425"/>
      </w:tabs>
      <w:spacing w:line="413" w:lineRule="auto"/>
      <w:ind w:left="360" w:hanging="360"/>
    </w:pPr>
    <w:rPr>
      <w:rFonts w:ascii="Times New Roman" w:hAnsi="Times New Roman" w:eastAsia="宋体" w:cs="Times New Roman"/>
      <w:sz w:val="24"/>
    </w:rPr>
  </w:style>
  <w:style w:type="paragraph" w:customStyle="1" w:styleId="187">
    <w:name w:val="无间隔1"/>
    <w:qFormat/>
    <w:uiPriority w:val="0"/>
    <w:pPr>
      <w:widowControl w:val="0"/>
      <w:jc w:val="both"/>
    </w:pPr>
    <w:rPr>
      <w:rFonts w:ascii="Calibri" w:hAnsi="Calibri" w:eastAsia="宋体" w:cs="Calibri"/>
      <w:kern w:val="2"/>
      <w:sz w:val="21"/>
      <w:szCs w:val="21"/>
      <w:lang w:val="en-US" w:eastAsia="zh-CN" w:bidi="ar-SA"/>
    </w:rPr>
  </w:style>
  <w:style w:type="paragraph" w:customStyle="1" w:styleId="188">
    <w:name w:val="修订1"/>
    <w:qFormat/>
    <w:uiPriority w:val="0"/>
    <w:rPr>
      <w:rFonts w:ascii="Times New Roman" w:hAnsi="Times New Roman" w:eastAsia="宋体" w:cs="Times New Roman"/>
      <w:kern w:val="2"/>
      <w:sz w:val="21"/>
      <w:szCs w:val="21"/>
      <w:lang w:val="en-US" w:eastAsia="zh-CN" w:bidi="ar-SA"/>
    </w:rPr>
  </w:style>
  <w:style w:type="paragraph" w:customStyle="1" w:styleId="189">
    <w:name w:val="文档正文"/>
    <w:basedOn w:val="1"/>
    <w:qFormat/>
    <w:uiPriority w:val="0"/>
    <w:pPr>
      <w:adjustRightInd w:val="0"/>
      <w:spacing w:line="480" w:lineRule="atLeast"/>
      <w:ind w:firstLine="567"/>
      <w:textAlignment w:val="baseline"/>
    </w:pPr>
    <w:rPr>
      <w:rFonts w:ascii="仿宋_GB2312" w:hAnsi="Times New Roman" w:eastAsia="仿宋_GB2312" w:cs="Times New Roman"/>
      <w:kern w:val="0"/>
      <w:sz w:val="28"/>
      <w:szCs w:val="20"/>
    </w:rPr>
  </w:style>
  <w:style w:type="character" w:customStyle="1" w:styleId="190">
    <w:name w:val="普通文字1 Char"/>
    <w:qFormat/>
    <w:uiPriority w:val="0"/>
    <w:rPr>
      <w:rFonts w:ascii="宋体" w:hAnsi="Courier New" w:eastAsia="宋体" w:cs="Courier New"/>
      <w:kern w:val="2"/>
      <w:sz w:val="21"/>
      <w:szCs w:val="21"/>
      <w:lang w:val="en-US" w:eastAsia="zh-CN" w:bidi="ar-SA"/>
    </w:rPr>
  </w:style>
  <w:style w:type="paragraph" w:customStyle="1" w:styleId="191">
    <w:name w:val="正文文本缩进 3 New"/>
    <w:basedOn w:val="1"/>
    <w:qFormat/>
    <w:uiPriority w:val="0"/>
    <w:pPr>
      <w:ind w:left="630"/>
    </w:pPr>
    <w:rPr>
      <w:rFonts w:ascii="Times New Roman" w:hAnsi="Times New Roman" w:eastAsia="宋体" w:cs="Times New Roman"/>
      <w:sz w:val="30"/>
      <w:szCs w:val="30"/>
    </w:rPr>
  </w:style>
  <w:style w:type="character" w:customStyle="1" w:styleId="192">
    <w:name w:val="书籍标题2"/>
    <w:qFormat/>
    <w:uiPriority w:val="0"/>
    <w:rPr>
      <w:b/>
      <w:bCs/>
      <w:smallCaps/>
      <w:spacing w:val="5"/>
    </w:rPr>
  </w:style>
  <w:style w:type="character" w:customStyle="1" w:styleId="193">
    <w:name w:val="明显参考2"/>
    <w:qFormat/>
    <w:uiPriority w:val="0"/>
    <w:rPr>
      <w:b/>
      <w:bCs/>
      <w:smallCaps/>
      <w:color w:val="C0504D"/>
      <w:spacing w:val="5"/>
      <w:u w:val="single"/>
    </w:rPr>
  </w:style>
  <w:style w:type="character" w:customStyle="1" w:styleId="194">
    <w:name w:val="称呼 Char"/>
    <w:link w:val="17"/>
    <w:qFormat/>
    <w:uiPriority w:val="0"/>
    <w:rPr>
      <w:sz w:val="28"/>
    </w:rPr>
  </w:style>
  <w:style w:type="character" w:customStyle="1" w:styleId="195">
    <w:name w:val="称呼 Char1"/>
    <w:basedOn w:val="47"/>
    <w:semiHidden/>
    <w:qFormat/>
    <w:uiPriority w:val="99"/>
    <w:rPr>
      <w:kern w:val="2"/>
      <w:sz w:val="21"/>
      <w:szCs w:val="22"/>
    </w:rPr>
  </w:style>
  <w:style w:type="character" w:customStyle="1" w:styleId="196">
    <w:name w:val="不明显参考2"/>
    <w:qFormat/>
    <w:uiPriority w:val="0"/>
    <w:rPr>
      <w:smallCaps/>
      <w:color w:val="C0504D"/>
      <w:u w:val="single"/>
    </w:rPr>
  </w:style>
  <w:style w:type="character" w:customStyle="1" w:styleId="197">
    <w:name w:val="不明显强调2"/>
    <w:qFormat/>
    <w:uiPriority w:val="0"/>
    <w:rPr>
      <w:i/>
      <w:iCs/>
      <w:color w:val="808080"/>
    </w:rPr>
  </w:style>
  <w:style w:type="character" w:customStyle="1" w:styleId="198">
    <w:name w:val="引用 Char"/>
    <w:link w:val="199"/>
    <w:qFormat/>
    <w:uiPriority w:val="0"/>
    <w:rPr>
      <w:i/>
      <w:iCs/>
      <w:color w:val="000000"/>
    </w:rPr>
  </w:style>
  <w:style w:type="paragraph" w:styleId="199">
    <w:name w:val="Quote"/>
    <w:basedOn w:val="1"/>
    <w:next w:val="1"/>
    <w:link w:val="198"/>
    <w:qFormat/>
    <w:uiPriority w:val="0"/>
    <w:rPr>
      <w:i/>
      <w:iCs/>
      <w:color w:val="000000"/>
      <w:kern w:val="0"/>
      <w:sz w:val="20"/>
      <w:szCs w:val="20"/>
    </w:rPr>
  </w:style>
  <w:style w:type="character" w:customStyle="1" w:styleId="200">
    <w:name w:val="引用 Char1"/>
    <w:basedOn w:val="47"/>
    <w:qFormat/>
    <w:uiPriority w:val="29"/>
    <w:rPr>
      <w:i/>
      <w:iCs/>
      <w:color w:val="000000" w:themeColor="text1"/>
      <w:kern w:val="2"/>
      <w:sz w:val="21"/>
      <w:szCs w:val="22"/>
    </w:rPr>
  </w:style>
  <w:style w:type="character" w:customStyle="1" w:styleId="201">
    <w:name w:val="样式 首行缩进:  2 字符 Char"/>
    <w:qFormat/>
    <w:uiPriority w:val="0"/>
    <w:rPr>
      <w:rFonts w:ascii="宋体" w:hAnsi="宋体" w:eastAsia="宋体" w:cs="宋体"/>
      <w:kern w:val="2"/>
      <w:sz w:val="24"/>
      <w:lang w:val="en-US" w:eastAsia="zh-CN" w:bidi="ar-SA"/>
    </w:rPr>
  </w:style>
  <w:style w:type="character" w:customStyle="1" w:styleId="202">
    <w:name w:val="批注主题 Char2"/>
    <w:semiHidden/>
    <w:qFormat/>
    <w:uiPriority w:val="99"/>
    <w:rPr>
      <w:b/>
      <w:bCs/>
      <w:kern w:val="2"/>
      <w:sz w:val="21"/>
      <w:szCs w:val="24"/>
    </w:rPr>
  </w:style>
  <w:style w:type="character" w:customStyle="1" w:styleId="203">
    <w:name w:val="明显引用 Char1"/>
    <w:qFormat/>
    <w:uiPriority w:val="30"/>
    <w:rPr>
      <w:b/>
      <w:bCs/>
      <w:i/>
      <w:iCs/>
      <w:color w:val="4F81BD"/>
      <w:kern w:val="2"/>
      <w:sz w:val="21"/>
      <w:szCs w:val="24"/>
    </w:rPr>
  </w:style>
  <w:style w:type="character" w:customStyle="1" w:styleId="204">
    <w:name w:val="明显引用 Char"/>
    <w:link w:val="205"/>
    <w:qFormat/>
    <w:uiPriority w:val="0"/>
    <w:rPr>
      <w:b/>
      <w:bCs/>
      <w:i/>
      <w:iCs/>
      <w:color w:val="4F81BD"/>
    </w:rPr>
  </w:style>
  <w:style w:type="paragraph" w:styleId="205">
    <w:name w:val="Intense Quote"/>
    <w:basedOn w:val="1"/>
    <w:next w:val="1"/>
    <w:link w:val="204"/>
    <w:qFormat/>
    <w:uiPriority w:val="0"/>
    <w:pPr>
      <w:pBdr>
        <w:bottom w:val="single" w:color="4F81BD" w:sz="4" w:space="4"/>
      </w:pBdr>
      <w:spacing w:before="200" w:after="280"/>
      <w:ind w:left="936" w:right="936"/>
    </w:pPr>
    <w:rPr>
      <w:b/>
      <w:bCs/>
      <w:i/>
      <w:iCs/>
      <w:color w:val="4F81BD"/>
      <w:kern w:val="0"/>
      <w:sz w:val="20"/>
      <w:szCs w:val="20"/>
    </w:rPr>
  </w:style>
  <w:style w:type="character" w:customStyle="1" w:styleId="206">
    <w:name w:val="明显引用 Char2"/>
    <w:basedOn w:val="47"/>
    <w:qFormat/>
    <w:uiPriority w:val="30"/>
    <w:rPr>
      <w:b/>
      <w:bCs/>
      <w:i/>
      <w:iCs/>
      <w:color w:val="4F81BD" w:themeColor="accent1"/>
      <w:kern w:val="2"/>
      <w:sz w:val="21"/>
      <w:szCs w:val="22"/>
    </w:rPr>
  </w:style>
  <w:style w:type="character" w:customStyle="1" w:styleId="207">
    <w:name w:val="Char Char"/>
    <w:qFormat/>
    <w:uiPriority w:val="0"/>
    <w:rPr>
      <w:rFonts w:eastAsia="仿宋_GB2312"/>
      <w:b/>
      <w:bCs/>
      <w:kern w:val="2"/>
      <w:sz w:val="24"/>
      <w:szCs w:val="32"/>
      <w:lang w:val="en-US" w:eastAsia="zh-CN" w:bidi="ar-SA"/>
    </w:rPr>
  </w:style>
  <w:style w:type="character" w:customStyle="1" w:styleId="208">
    <w:name w:val="明显强调2"/>
    <w:qFormat/>
    <w:uiPriority w:val="0"/>
    <w:rPr>
      <w:b/>
      <w:bCs/>
      <w:i/>
      <w:iCs/>
      <w:color w:val="4F81BD"/>
    </w:rPr>
  </w:style>
  <w:style w:type="paragraph" w:customStyle="1" w:styleId="209">
    <w:name w:val="xl83"/>
    <w:basedOn w:val="1"/>
    <w:qFormat/>
    <w:uiPriority w:val="0"/>
    <w:pPr>
      <w:widowControl/>
      <w:shd w:val="clear" w:color="FFFFFF" w:fill="FFFFFF"/>
      <w:spacing w:before="100" w:beforeAutospacing="1" w:after="100" w:afterAutospacing="1"/>
      <w:jc w:val="left"/>
    </w:pPr>
    <w:rPr>
      <w:rFonts w:ascii="宋体" w:hAnsi="宋体" w:eastAsia="宋体" w:cs="宋体"/>
      <w:kern w:val="0"/>
      <w:sz w:val="24"/>
      <w:szCs w:val="24"/>
    </w:rPr>
  </w:style>
  <w:style w:type="paragraph" w:customStyle="1" w:styleId="210">
    <w:name w:val="xl85"/>
    <w:basedOn w:val="1"/>
    <w:qFormat/>
    <w:uiPriority w:val="0"/>
    <w:pPr>
      <w:widowControl/>
      <w:shd w:val="clear" w:color="FFFFFF" w:fill="FFFFFF"/>
      <w:spacing w:before="100" w:beforeAutospacing="1" w:after="100" w:afterAutospacing="1"/>
      <w:jc w:val="right"/>
      <w:textAlignment w:val="top"/>
    </w:pPr>
    <w:rPr>
      <w:rFonts w:ascii="宋体" w:hAnsi="宋体" w:eastAsia="宋体" w:cs="宋体"/>
      <w:kern w:val="0"/>
      <w:sz w:val="24"/>
      <w:szCs w:val="24"/>
    </w:rPr>
  </w:style>
  <w:style w:type="paragraph" w:customStyle="1" w:styleId="211">
    <w:name w:val="xl75"/>
    <w:basedOn w:val="1"/>
    <w:qFormat/>
    <w:uiPriority w:val="0"/>
    <w:pPr>
      <w:widowControl/>
      <w:shd w:val="clear" w:color="FFFFFF" w:fill="FFFFFF"/>
      <w:spacing w:before="100" w:beforeAutospacing="1" w:after="100" w:afterAutospacing="1"/>
      <w:jc w:val="right"/>
      <w:textAlignment w:val="center"/>
    </w:pPr>
    <w:rPr>
      <w:rFonts w:ascii="宋体" w:hAnsi="宋体" w:eastAsia="宋体" w:cs="宋体"/>
      <w:kern w:val="0"/>
      <w:sz w:val="24"/>
      <w:szCs w:val="24"/>
    </w:rPr>
  </w:style>
  <w:style w:type="paragraph" w:customStyle="1" w:styleId="212">
    <w:name w:val="xl76"/>
    <w:basedOn w:val="1"/>
    <w:qFormat/>
    <w:uiPriority w:val="0"/>
    <w:pPr>
      <w:widowControl/>
      <w:shd w:val="clear" w:color="FFFFFF" w:fill="FFFFFF"/>
      <w:spacing w:before="100" w:beforeAutospacing="1" w:after="100" w:afterAutospacing="1"/>
      <w:jc w:val="center"/>
      <w:textAlignment w:val="center"/>
    </w:pPr>
    <w:rPr>
      <w:rFonts w:ascii="宋体" w:hAnsi="宋体" w:eastAsia="宋体" w:cs="宋体"/>
      <w:b/>
      <w:bCs/>
      <w:kern w:val="0"/>
      <w:sz w:val="40"/>
      <w:szCs w:val="40"/>
    </w:rPr>
  </w:style>
  <w:style w:type="paragraph" w:customStyle="1" w:styleId="213">
    <w:name w:val="Char Char Char Char Char Char Char"/>
    <w:basedOn w:val="1"/>
    <w:qFormat/>
    <w:uiPriority w:val="0"/>
    <w:pPr>
      <w:tabs>
        <w:tab w:val="left" w:pos="360"/>
      </w:tabs>
    </w:pPr>
    <w:rPr>
      <w:rFonts w:ascii="Times New Roman" w:hAnsi="Times New Roman" w:eastAsia="宋体" w:cs="Times New Roman"/>
      <w:szCs w:val="24"/>
    </w:rPr>
  </w:style>
  <w:style w:type="paragraph" w:customStyle="1" w:styleId="214">
    <w:name w:val="xl82"/>
    <w:basedOn w:val="1"/>
    <w:qFormat/>
    <w:uiPriority w:val="0"/>
    <w:pPr>
      <w:widowControl/>
      <w:pBdr>
        <w:top w:val="single" w:color="000000" w:sz="4" w:space="0"/>
        <w:left w:val="single" w:color="000000" w:sz="4" w:space="0"/>
        <w:bottom w:val="single" w:color="000000" w:sz="8" w:space="0"/>
        <w:right w:val="single" w:color="000000" w:sz="4" w:space="0"/>
      </w:pBdr>
      <w:shd w:val="clear" w:color="FFFFFF" w:fill="FFFFFF"/>
      <w:spacing w:before="100" w:beforeAutospacing="1" w:after="100" w:afterAutospacing="1"/>
      <w:jc w:val="center"/>
      <w:textAlignment w:val="center"/>
    </w:pPr>
    <w:rPr>
      <w:rFonts w:ascii="宋体" w:hAnsi="宋体" w:eastAsia="宋体" w:cs="宋体"/>
      <w:kern w:val="0"/>
      <w:sz w:val="24"/>
      <w:szCs w:val="24"/>
    </w:rPr>
  </w:style>
  <w:style w:type="paragraph" w:customStyle="1" w:styleId="215">
    <w:name w:val="msonormal"/>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216">
    <w:name w:val="xl74"/>
    <w:basedOn w:val="1"/>
    <w:qFormat/>
    <w:uiPriority w:val="0"/>
    <w:pPr>
      <w:widowControl/>
      <w:shd w:val="clear" w:color="FFFFFF" w:fill="FFFFFF"/>
      <w:spacing w:before="100" w:beforeAutospacing="1" w:after="100" w:afterAutospacing="1"/>
      <w:jc w:val="left"/>
      <w:textAlignment w:val="center"/>
    </w:pPr>
    <w:rPr>
      <w:rFonts w:ascii="宋体" w:hAnsi="宋体" w:eastAsia="宋体" w:cs="宋体"/>
      <w:kern w:val="0"/>
      <w:sz w:val="24"/>
      <w:szCs w:val="24"/>
    </w:rPr>
  </w:style>
  <w:style w:type="paragraph" w:customStyle="1" w:styleId="217">
    <w:name w:val="xl84"/>
    <w:basedOn w:val="1"/>
    <w:qFormat/>
    <w:uiPriority w:val="0"/>
    <w:pPr>
      <w:widowControl/>
      <w:shd w:val="clear" w:color="FFFFFF" w:fill="FFFFFF"/>
      <w:spacing w:before="100" w:beforeAutospacing="1" w:after="100" w:afterAutospacing="1"/>
      <w:jc w:val="left"/>
      <w:textAlignment w:val="center"/>
    </w:pPr>
    <w:rPr>
      <w:rFonts w:ascii="宋体" w:hAnsi="宋体" w:eastAsia="宋体" w:cs="宋体"/>
      <w:kern w:val="0"/>
      <w:sz w:val="24"/>
      <w:szCs w:val="24"/>
      <w:u w:val="single"/>
    </w:rPr>
  </w:style>
  <w:style w:type="paragraph" w:customStyle="1" w:styleId="218">
    <w:name w:val="xl71"/>
    <w:basedOn w:val="1"/>
    <w:qFormat/>
    <w:uiPriority w:val="0"/>
    <w:pPr>
      <w:widowControl/>
      <w:pBdr>
        <w:top w:val="single" w:color="000000" w:sz="4" w:space="0"/>
        <w:left w:val="single" w:color="000000" w:sz="4" w:space="0"/>
        <w:bottom w:val="single" w:color="000000" w:sz="4" w:space="0"/>
        <w:right w:val="single" w:color="000000" w:sz="8" w:space="0"/>
      </w:pBdr>
      <w:shd w:val="clear" w:color="FFFFFF" w:fill="FFFFFF"/>
      <w:spacing w:before="100" w:beforeAutospacing="1" w:after="100" w:afterAutospacing="1"/>
      <w:jc w:val="right"/>
      <w:textAlignment w:val="center"/>
    </w:pPr>
    <w:rPr>
      <w:rFonts w:ascii="宋体" w:hAnsi="宋体" w:eastAsia="宋体" w:cs="宋体"/>
      <w:kern w:val="0"/>
      <w:sz w:val="24"/>
      <w:szCs w:val="24"/>
    </w:rPr>
  </w:style>
  <w:style w:type="paragraph" w:customStyle="1" w:styleId="219">
    <w:name w:val="xl87"/>
    <w:basedOn w:val="1"/>
    <w:qFormat/>
    <w:uiPriority w:val="0"/>
    <w:pPr>
      <w:widowControl/>
      <w:pBdr>
        <w:top w:val="single" w:color="000000" w:sz="8" w:space="0"/>
        <w:left w:val="single" w:color="000000" w:sz="8" w:space="0"/>
        <w:bottom w:val="single" w:color="000000" w:sz="4" w:space="0"/>
        <w:right w:val="single" w:color="000000" w:sz="4" w:space="0"/>
      </w:pBdr>
      <w:shd w:val="clear" w:color="FFFFFF" w:fill="FFFFFF"/>
      <w:spacing w:before="100" w:beforeAutospacing="1" w:after="100" w:afterAutospacing="1"/>
      <w:jc w:val="center"/>
      <w:textAlignment w:val="center"/>
    </w:pPr>
    <w:rPr>
      <w:rFonts w:ascii="宋体" w:hAnsi="宋体" w:eastAsia="宋体" w:cs="宋体"/>
      <w:b/>
      <w:bCs/>
      <w:kern w:val="0"/>
      <w:sz w:val="24"/>
      <w:szCs w:val="24"/>
    </w:rPr>
  </w:style>
  <w:style w:type="paragraph" w:customStyle="1" w:styleId="220">
    <w:name w:val="xl69"/>
    <w:basedOn w:val="1"/>
    <w:qFormat/>
    <w:uiPriority w:val="0"/>
    <w:pPr>
      <w:widowControl/>
      <w:pBdr>
        <w:top w:val="single" w:color="000000" w:sz="4" w:space="0"/>
        <w:left w:val="single" w:color="000000" w:sz="4" w:space="0"/>
        <w:bottom w:val="single" w:color="000000" w:sz="4" w:space="0"/>
        <w:right w:val="single" w:color="000000" w:sz="8" w:space="0"/>
      </w:pBdr>
      <w:shd w:val="clear" w:color="FFFFFF" w:fill="FFFFFF"/>
      <w:spacing w:before="100" w:beforeAutospacing="1" w:after="100" w:afterAutospacing="1"/>
      <w:jc w:val="center"/>
      <w:textAlignment w:val="center"/>
    </w:pPr>
    <w:rPr>
      <w:rFonts w:ascii="宋体" w:hAnsi="宋体" w:eastAsia="宋体" w:cs="宋体"/>
      <w:kern w:val="0"/>
      <w:sz w:val="24"/>
      <w:szCs w:val="24"/>
    </w:rPr>
  </w:style>
  <w:style w:type="paragraph" w:customStyle="1" w:styleId="221">
    <w:name w:val="xl73"/>
    <w:basedOn w:val="1"/>
    <w:qFormat/>
    <w:uiPriority w:val="0"/>
    <w:pPr>
      <w:widowControl/>
      <w:pBdr>
        <w:top w:val="single" w:color="000000" w:sz="4" w:space="0"/>
        <w:left w:val="single" w:color="000000" w:sz="4" w:space="0"/>
        <w:bottom w:val="single" w:color="000000" w:sz="8" w:space="0"/>
        <w:right w:val="single" w:color="000000" w:sz="4" w:space="0"/>
      </w:pBdr>
      <w:shd w:val="clear" w:color="FFFFFF" w:fill="FFFFFF"/>
      <w:spacing w:before="100" w:beforeAutospacing="1" w:after="100" w:afterAutospacing="1"/>
      <w:jc w:val="left"/>
      <w:textAlignment w:val="center"/>
    </w:pPr>
    <w:rPr>
      <w:rFonts w:ascii="宋体" w:hAnsi="宋体" w:eastAsia="宋体" w:cs="宋体"/>
      <w:kern w:val="0"/>
      <w:sz w:val="24"/>
      <w:szCs w:val="24"/>
    </w:rPr>
  </w:style>
  <w:style w:type="paragraph" w:customStyle="1" w:styleId="222">
    <w:name w:val="xl78"/>
    <w:basedOn w:val="1"/>
    <w:qFormat/>
    <w:uiPriority w:val="0"/>
    <w:pPr>
      <w:widowControl/>
      <w:pBdr>
        <w:top w:val="single" w:color="000000" w:sz="8" w:space="0"/>
        <w:left w:val="single" w:color="000000" w:sz="8" w:space="0"/>
        <w:bottom w:val="single" w:color="000000" w:sz="4" w:space="0"/>
        <w:right w:val="single" w:color="000000" w:sz="4" w:space="0"/>
      </w:pBdr>
      <w:shd w:val="clear" w:color="FFFFFF" w:fill="FFFFFF"/>
      <w:spacing w:before="100" w:beforeAutospacing="1" w:after="100" w:afterAutospacing="1"/>
      <w:jc w:val="center"/>
      <w:textAlignment w:val="center"/>
    </w:pPr>
    <w:rPr>
      <w:rFonts w:ascii="宋体" w:hAnsi="宋体" w:eastAsia="宋体" w:cs="宋体"/>
      <w:kern w:val="0"/>
      <w:sz w:val="24"/>
      <w:szCs w:val="24"/>
    </w:rPr>
  </w:style>
  <w:style w:type="paragraph" w:customStyle="1" w:styleId="223">
    <w:name w:val="xl72"/>
    <w:basedOn w:val="1"/>
    <w:qFormat/>
    <w:uiPriority w:val="0"/>
    <w:pPr>
      <w:widowControl/>
      <w:pBdr>
        <w:top w:val="single" w:color="000000" w:sz="4" w:space="0"/>
        <w:left w:val="single" w:color="000000" w:sz="4" w:space="0"/>
        <w:bottom w:val="single" w:color="000000" w:sz="8" w:space="0"/>
        <w:right w:val="single" w:color="000000" w:sz="8" w:space="0"/>
      </w:pBdr>
      <w:shd w:val="clear" w:color="FFFFFF" w:fill="FFFFFF"/>
      <w:spacing w:before="100" w:beforeAutospacing="1" w:after="100" w:afterAutospacing="1"/>
      <w:jc w:val="right"/>
      <w:textAlignment w:val="center"/>
    </w:pPr>
    <w:rPr>
      <w:rFonts w:ascii="宋体" w:hAnsi="宋体" w:eastAsia="宋体" w:cs="宋体"/>
      <w:kern w:val="0"/>
      <w:sz w:val="24"/>
      <w:szCs w:val="24"/>
    </w:rPr>
  </w:style>
  <w:style w:type="paragraph" w:customStyle="1" w:styleId="224">
    <w:name w:val="xl79"/>
    <w:basedOn w:val="1"/>
    <w:qFormat/>
    <w:uiPriority w:val="0"/>
    <w:pPr>
      <w:widowControl/>
      <w:pBdr>
        <w:top w:val="single" w:color="000000" w:sz="8" w:space="0"/>
        <w:left w:val="single" w:color="000000" w:sz="4" w:space="0"/>
        <w:bottom w:val="single" w:color="000000" w:sz="4" w:space="0"/>
        <w:right w:val="single" w:color="000000" w:sz="4" w:space="0"/>
      </w:pBdr>
      <w:shd w:val="clear" w:color="FFFFFF" w:fill="FFFFFF"/>
      <w:spacing w:before="100" w:beforeAutospacing="1" w:after="100" w:afterAutospacing="1"/>
      <w:jc w:val="center"/>
      <w:textAlignment w:val="center"/>
    </w:pPr>
    <w:rPr>
      <w:rFonts w:ascii="宋体" w:hAnsi="宋体" w:eastAsia="宋体" w:cs="宋体"/>
      <w:kern w:val="0"/>
      <w:sz w:val="24"/>
      <w:szCs w:val="24"/>
    </w:rPr>
  </w:style>
  <w:style w:type="paragraph" w:customStyle="1" w:styleId="225">
    <w:name w:val="xl86"/>
    <w:basedOn w:val="1"/>
    <w:qFormat/>
    <w:uiPriority w:val="0"/>
    <w:pPr>
      <w:widowControl/>
      <w:pBdr>
        <w:top w:val="single" w:color="000000" w:sz="4" w:space="0"/>
        <w:left w:val="single" w:color="000000" w:sz="4" w:space="0"/>
        <w:bottom w:val="single" w:color="000000" w:sz="4" w:space="0"/>
        <w:right w:val="single" w:color="000000" w:sz="4" w:space="0"/>
      </w:pBdr>
      <w:shd w:val="clear" w:color="FFFFFF" w:fill="FFFFFF"/>
      <w:spacing w:before="100" w:beforeAutospacing="1" w:after="100" w:afterAutospacing="1"/>
      <w:jc w:val="center"/>
      <w:textAlignment w:val="center"/>
    </w:pPr>
    <w:rPr>
      <w:rFonts w:ascii="宋体" w:hAnsi="宋体" w:eastAsia="宋体" w:cs="宋体"/>
      <w:b/>
      <w:bCs/>
      <w:kern w:val="0"/>
      <w:sz w:val="24"/>
      <w:szCs w:val="24"/>
    </w:rPr>
  </w:style>
  <w:style w:type="paragraph" w:customStyle="1" w:styleId="226">
    <w:name w:val="修订2"/>
    <w:qFormat/>
    <w:uiPriority w:val="0"/>
    <w:rPr>
      <w:rFonts w:ascii="Times New Roman" w:hAnsi="Times New Roman" w:eastAsia="宋体" w:cs="Times New Roman"/>
      <w:kern w:val="2"/>
      <w:sz w:val="21"/>
      <w:szCs w:val="24"/>
      <w:lang w:val="en-US" w:eastAsia="zh-CN" w:bidi="ar-SA"/>
    </w:rPr>
  </w:style>
  <w:style w:type="paragraph" w:customStyle="1" w:styleId="227">
    <w:name w:val="xl70"/>
    <w:basedOn w:val="1"/>
    <w:qFormat/>
    <w:uiPriority w:val="0"/>
    <w:pPr>
      <w:widowControl/>
      <w:pBdr>
        <w:top w:val="single" w:color="000000" w:sz="4" w:space="0"/>
        <w:left w:val="single" w:color="000000" w:sz="4" w:space="0"/>
        <w:bottom w:val="single" w:color="000000" w:sz="4" w:space="0"/>
        <w:right w:val="single" w:color="000000" w:sz="8" w:space="0"/>
      </w:pBdr>
      <w:shd w:val="clear" w:color="FFFFFF" w:fill="FFFFFF"/>
      <w:spacing w:before="100" w:beforeAutospacing="1" w:after="100" w:afterAutospacing="1"/>
      <w:jc w:val="left"/>
      <w:textAlignment w:val="center"/>
    </w:pPr>
    <w:rPr>
      <w:rFonts w:ascii="宋体" w:hAnsi="宋体" w:eastAsia="宋体" w:cs="宋体"/>
      <w:kern w:val="0"/>
      <w:sz w:val="24"/>
      <w:szCs w:val="24"/>
    </w:rPr>
  </w:style>
  <w:style w:type="paragraph" w:customStyle="1" w:styleId="228">
    <w:name w:val="xl63"/>
    <w:basedOn w:val="1"/>
    <w:qFormat/>
    <w:uiPriority w:val="0"/>
    <w:pPr>
      <w:widowControl/>
      <w:pBdr>
        <w:top w:val="single" w:color="000000" w:sz="4" w:space="0"/>
        <w:left w:val="single" w:color="000000" w:sz="8" w:space="0"/>
        <w:bottom w:val="single" w:color="000000" w:sz="4" w:space="0"/>
        <w:right w:val="single" w:color="000000" w:sz="4" w:space="0"/>
      </w:pBdr>
      <w:shd w:val="clear" w:color="FFFFFF" w:fill="FFFFFF"/>
      <w:spacing w:before="100" w:beforeAutospacing="1" w:after="100" w:afterAutospacing="1"/>
      <w:jc w:val="center"/>
      <w:textAlignment w:val="center"/>
    </w:pPr>
    <w:rPr>
      <w:rFonts w:ascii="宋体" w:hAnsi="宋体" w:eastAsia="宋体" w:cs="宋体"/>
      <w:kern w:val="0"/>
      <w:sz w:val="24"/>
      <w:szCs w:val="24"/>
    </w:rPr>
  </w:style>
  <w:style w:type="paragraph" w:customStyle="1" w:styleId="229">
    <w:name w:val="xl67"/>
    <w:basedOn w:val="1"/>
    <w:qFormat/>
    <w:uiPriority w:val="0"/>
    <w:pPr>
      <w:widowControl/>
      <w:pBdr>
        <w:top w:val="single" w:color="000000" w:sz="4" w:space="0"/>
        <w:left w:val="single" w:color="000000" w:sz="4" w:space="0"/>
        <w:bottom w:val="single" w:color="000000" w:sz="4" w:space="0"/>
        <w:right w:val="single" w:color="000000" w:sz="4" w:space="0"/>
      </w:pBdr>
      <w:shd w:val="clear" w:color="FFFFFF" w:fill="FFFFFF"/>
      <w:spacing w:before="100" w:beforeAutospacing="1" w:after="100" w:afterAutospacing="1"/>
      <w:jc w:val="right"/>
      <w:textAlignment w:val="center"/>
    </w:pPr>
    <w:rPr>
      <w:rFonts w:ascii="宋体" w:hAnsi="宋体" w:eastAsia="宋体" w:cs="宋体"/>
      <w:kern w:val="0"/>
      <w:sz w:val="24"/>
      <w:szCs w:val="24"/>
    </w:rPr>
  </w:style>
  <w:style w:type="paragraph" w:customStyle="1" w:styleId="230">
    <w:name w:val="xl68"/>
    <w:basedOn w:val="1"/>
    <w:qFormat/>
    <w:uiPriority w:val="0"/>
    <w:pPr>
      <w:widowControl/>
      <w:pBdr>
        <w:top w:val="single" w:color="000000" w:sz="4" w:space="0"/>
        <w:left w:val="single" w:color="000000" w:sz="4" w:space="0"/>
        <w:bottom w:val="single" w:color="000000" w:sz="8" w:space="0"/>
        <w:right w:val="single" w:color="000000" w:sz="4" w:space="0"/>
      </w:pBdr>
      <w:shd w:val="clear" w:color="FFFFFF" w:fill="FFFFFF"/>
      <w:spacing w:before="100" w:beforeAutospacing="1" w:after="100" w:afterAutospacing="1"/>
      <w:jc w:val="right"/>
      <w:textAlignment w:val="center"/>
    </w:pPr>
    <w:rPr>
      <w:rFonts w:ascii="宋体" w:hAnsi="宋体" w:eastAsia="宋体" w:cs="宋体"/>
      <w:kern w:val="0"/>
      <w:sz w:val="24"/>
      <w:szCs w:val="24"/>
    </w:rPr>
  </w:style>
  <w:style w:type="paragraph" w:customStyle="1" w:styleId="231">
    <w:name w:val="xl65"/>
    <w:basedOn w:val="1"/>
    <w:qFormat/>
    <w:uiPriority w:val="0"/>
    <w:pPr>
      <w:widowControl/>
      <w:pBdr>
        <w:top w:val="single" w:color="000000" w:sz="4" w:space="0"/>
        <w:left w:val="single" w:color="000000" w:sz="4" w:space="0"/>
        <w:bottom w:val="single" w:color="000000" w:sz="4" w:space="0"/>
        <w:right w:val="single" w:color="000000" w:sz="4" w:space="0"/>
      </w:pBdr>
      <w:shd w:val="clear" w:color="FFFFFF" w:fill="FFFFFF"/>
      <w:spacing w:before="100" w:beforeAutospacing="1" w:after="100" w:afterAutospacing="1"/>
      <w:jc w:val="left"/>
      <w:textAlignment w:val="center"/>
    </w:pPr>
    <w:rPr>
      <w:rFonts w:ascii="宋体" w:hAnsi="宋体" w:eastAsia="宋体" w:cs="宋体"/>
      <w:kern w:val="0"/>
      <w:sz w:val="24"/>
      <w:szCs w:val="24"/>
    </w:rPr>
  </w:style>
  <w:style w:type="paragraph" w:customStyle="1" w:styleId="232">
    <w:name w:val="xl81"/>
    <w:basedOn w:val="1"/>
    <w:qFormat/>
    <w:uiPriority w:val="0"/>
    <w:pPr>
      <w:widowControl/>
      <w:pBdr>
        <w:top w:val="single" w:color="000000" w:sz="8" w:space="0"/>
        <w:left w:val="single" w:color="000000" w:sz="4" w:space="0"/>
        <w:bottom w:val="single" w:color="000000" w:sz="4" w:space="0"/>
        <w:right w:val="single" w:color="000000" w:sz="8" w:space="0"/>
      </w:pBdr>
      <w:shd w:val="clear" w:color="FFFFFF" w:fill="FFFFFF"/>
      <w:spacing w:before="100" w:beforeAutospacing="1" w:after="100" w:afterAutospacing="1"/>
      <w:jc w:val="center"/>
      <w:textAlignment w:val="center"/>
    </w:pPr>
    <w:rPr>
      <w:rFonts w:ascii="宋体" w:hAnsi="宋体" w:eastAsia="宋体" w:cs="宋体"/>
      <w:kern w:val="0"/>
      <w:sz w:val="24"/>
      <w:szCs w:val="24"/>
    </w:rPr>
  </w:style>
  <w:style w:type="paragraph" w:customStyle="1" w:styleId="233">
    <w:name w:val="xl80"/>
    <w:basedOn w:val="1"/>
    <w:qFormat/>
    <w:uiPriority w:val="0"/>
    <w:pPr>
      <w:widowControl/>
      <w:pBdr>
        <w:top w:val="single" w:color="000000" w:sz="4" w:space="0"/>
        <w:left w:val="single" w:color="000000" w:sz="4" w:space="0"/>
        <w:bottom w:val="single" w:color="000000" w:sz="4" w:space="0"/>
        <w:right w:val="single" w:color="000000" w:sz="4" w:space="0"/>
      </w:pBdr>
      <w:shd w:val="clear" w:color="FFFFFF" w:fill="FFFFFF"/>
      <w:spacing w:before="100" w:beforeAutospacing="1" w:after="100" w:afterAutospacing="1"/>
      <w:jc w:val="center"/>
      <w:textAlignment w:val="center"/>
    </w:pPr>
    <w:rPr>
      <w:rFonts w:ascii="宋体" w:hAnsi="宋体" w:eastAsia="宋体" w:cs="宋体"/>
      <w:kern w:val="0"/>
      <w:sz w:val="24"/>
      <w:szCs w:val="24"/>
    </w:rPr>
  </w:style>
  <w:style w:type="paragraph" w:customStyle="1" w:styleId="234">
    <w:name w:val="xl77"/>
    <w:basedOn w:val="1"/>
    <w:qFormat/>
    <w:uiPriority w:val="0"/>
    <w:pPr>
      <w:widowControl/>
      <w:shd w:val="clear" w:color="FFFFFF" w:fill="FFFFFF"/>
      <w:spacing w:before="100" w:beforeAutospacing="1" w:after="100" w:afterAutospacing="1"/>
      <w:jc w:val="left"/>
      <w:textAlignment w:val="center"/>
    </w:pPr>
    <w:rPr>
      <w:rFonts w:ascii="宋体" w:hAnsi="宋体" w:eastAsia="宋体" w:cs="宋体"/>
      <w:kern w:val="0"/>
      <w:sz w:val="24"/>
      <w:szCs w:val="24"/>
    </w:rPr>
  </w:style>
  <w:style w:type="paragraph" w:customStyle="1" w:styleId="235">
    <w:name w:val="样式 首行缩进:  2 字符"/>
    <w:basedOn w:val="1"/>
    <w:qFormat/>
    <w:uiPriority w:val="0"/>
    <w:pPr>
      <w:adjustRightInd w:val="0"/>
      <w:snapToGrid w:val="0"/>
      <w:spacing w:before="100" w:beforeAutospacing="1" w:after="100" w:afterAutospacing="1" w:line="440" w:lineRule="atLeast"/>
      <w:ind w:firstLine="200" w:firstLineChars="200"/>
      <w:jc w:val="left"/>
    </w:pPr>
    <w:rPr>
      <w:rFonts w:ascii="宋体" w:hAnsi="宋体" w:eastAsia="宋体" w:cs="宋体"/>
      <w:sz w:val="24"/>
      <w:szCs w:val="20"/>
    </w:rPr>
  </w:style>
  <w:style w:type="paragraph" w:customStyle="1" w:styleId="236">
    <w:name w:val="xl66"/>
    <w:basedOn w:val="1"/>
    <w:qFormat/>
    <w:uiPriority w:val="0"/>
    <w:pPr>
      <w:widowControl/>
      <w:pBdr>
        <w:top w:val="single" w:color="000000" w:sz="4" w:space="0"/>
        <w:left w:val="single" w:color="000000" w:sz="4" w:space="0"/>
        <w:bottom w:val="single" w:color="000000" w:sz="8" w:space="0"/>
        <w:right w:val="single" w:color="000000" w:sz="4" w:space="0"/>
      </w:pBdr>
      <w:shd w:val="clear" w:color="FFFFFF" w:fill="FFFFFF"/>
      <w:spacing w:before="100" w:beforeAutospacing="1" w:after="100" w:afterAutospacing="1"/>
      <w:jc w:val="left"/>
      <w:textAlignment w:val="center"/>
    </w:pPr>
    <w:rPr>
      <w:rFonts w:ascii="宋体" w:hAnsi="宋体" w:eastAsia="宋体" w:cs="宋体"/>
      <w:kern w:val="0"/>
      <w:sz w:val="24"/>
      <w:szCs w:val="24"/>
    </w:rPr>
  </w:style>
  <w:style w:type="paragraph" w:customStyle="1" w:styleId="237">
    <w:name w:val="xl64"/>
    <w:basedOn w:val="1"/>
    <w:qFormat/>
    <w:uiPriority w:val="0"/>
    <w:pPr>
      <w:widowControl/>
      <w:pBdr>
        <w:top w:val="single" w:color="000000" w:sz="4" w:space="0"/>
        <w:left w:val="single" w:color="000000" w:sz="8" w:space="0"/>
        <w:bottom w:val="single" w:color="000000" w:sz="8" w:space="0"/>
        <w:right w:val="single" w:color="000000" w:sz="4" w:space="0"/>
      </w:pBdr>
      <w:shd w:val="clear" w:color="FFFFFF" w:fill="FFFFFF"/>
      <w:spacing w:before="100" w:beforeAutospacing="1" w:after="100" w:afterAutospacing="1"/>
      <w:jc w:val="center"/>
      <w:textAlignment w:val="center"/>
    </w:pPr>
    <w:rPr>
      <w:rFonts w:ascii="宋体" w:hAnsi="宋体" w:eastAsia="宋体" w:cs="宋体"/>
      <w:kern w:val="0"/>
      <w:sz w:val="24"/>
      <w:szCs w:val="24"/>
    </w:rPr>
  </w:style>
  <w:style w:type="paragraph" w:styleId="238">
    <w:name w:val="No Spacing"/>
    <w:qFormat/>
    <w:uiPriority w:val="0"/>
    <w:pPr>
      <w:widowControl w:val="0"/>
      <w:jc w:val="both"/>
    </w:pPr>
    <w:rPr>
      <w:rFonts w:ascii="Calibri" w:hAnsi="Calibri" w:eastAsia="宋体" w:cs="Times New Roman"/>
      <w:kern w:val="2"/>
      <w:sz w:val="21"/>
      <w:szCs w:val="22"/>
      <w:lang w:val="en-US" w:eastAsia="zh-CN" w:bidi="ar-SA"/>
    </w:rPr>
  </w:style>
  <w:style w:type="paragraph" w:customStyle="1" w:styleId="239">
    <w:name w:val="Char Char21"/>
    <w:basedOn w:val="1"/>
    <w:qFormat/>
    <w:uiPriority w:val="0"/>
    <w:pPr>
      <w:spacing w:line="360" w:lineRule="auto"/>
      <w:ind w:firstLine="200" w:firstLineChars="200"/>
    </w:pPr>
    <w:rPr>
      <w:rFonts w:ascii="宋体" w:hAnsi="宋体" w:eastAsia="宋体" w:cs="宋体"/>
      <w:sz w:val="24"/>
      <w:szCs w:val="24"/>
    </w:rPr>
  </w:style>
  <w:style w:type="character" w:customStyle="1" w:styleId="240">
    <w:name w:val="正文文本 2 Char"/>
    <w:basedOn w:val="47"/>
    <w:semiHidden/>
    <w:qFormat/>
    <w:uiPriority w:val="0"/>
    <w:rPr>
      <w:kern w:val="2"/>
      <w:sz w:val="21"/>
      <w:szCs w:val="22"/>
    </w:rPr>
  </w:style>
  <w:style w:type="character" w:customStyle="1" w:styleId="241">
    <w:name w:val="正文文本 2 Char1"/>
    <w:link w:val="38"/>
    <w:semiHidden/>
    <w:qFormat/>
    <w:locked/>
    <w:uiPriority w:val="0"/>
    <w:rPr>
      <w:rFonts w:ascii="Times New Roman" w:hAnsi="Times New Roman" w:eastAsia="宋体" w:cs="Times New Roman"/>
      <w:kern w:val="2"/>
      <w:sz w:val="21"/>
      <w:szCs w:val="24"/>
    </w:rPr>
  </w:style>
  <w:style w:type="paragraph" w:customStyle="1" w:styleId="242">
    <w:name w:val="列出段落11"/>
    <w:basedOn w:val="1"/>
    <w:qFormat/>
    <w:uiPriority w:val="34"/>
    <w:pPr>
      <w:ind w:firstLine="420" w:firstLineChars="200"/>
    </w:pPr>
    <w:rPr>
      <w:rFonts w:ascii="Calibri" w:hAnsi="Calibri" w:eastAsia="宋体" w:cs="Times New Roman"/>
      <w:szCs w:val="24"/>
    </w:rPr>
  </w:style>
  <w:style w:type="character" w:customStyle="1" w:styleId="243">
    <w:name w:val="页脚 字符"/>
    <w:qFormat/>
    <w:uiPriority w:val="99"/>
  </w:style>
  <w:style w:type="character" w:customStyle="1" w:styleId="244">
    <w:name w:val="页眉 字符"/>
    <w:qFormat/>
    <w:uiPriority w:val="0"/>
  </w:style>
  <w:style w:type="paragraph" w:customStyle="1" w:styleId="245">
    <w:name w:val="无间隔11"/>
    <w:basedOn w:val="1"/>
    <w:qFormat/>
    <w:uiPriority w:val="1"/>
    <w:pPr>
      <w:spacing w:line="400" w:lineRule="exact"/>
    </w:pPr>
    <w:rPr>
      <w:rFonts w:ascii="Times New Roman" w:hAnsi="Times New Roman" w:eastAsia="宋体" w:cs="Times New Roman"/>
      <w:sz w:val="24"/>
      <w:szCs w:val="24"/>
    </w:rPr>
  </w:style>
  <w:style w:type="character" w:customStyle="1" w:styleId="246">
    <w:name w:val="未处理的提及1"/>
    <w:semiHidden/>
    <w:unhideWhenUsed/>
    <w:qFormat/>
    <w:uiPriority w:val="99"/>
    <w:rPr>
      <w:color w:val="605E5C"/>
      <w:shd w:val="clear" w:color="auto" w:fill="E1DFDD"/>
    </w:rPr>
  </w:style>
  <w:style w:type="character" w:customStyle="1" w:styleId="247">
    <w:name w:val="正文首行缩进 2 Char"/>
    <w:basedOn w:val="69"/>
    <w:link w:val="44"/>
    <w:semiHidden/>
    <w:qFormat/>
    <w:uiPriority w:val="99"/>
    <w:rPr>
      <w:kern w:val="2"/>
      <w:sz w:val="21"/>
      <w:szCs w:val="22"/>
    </w:rPr>
  </w:style>
  <w:style w:type="character" w:customStyle="1" w:styleId="248">
    <w:name w:val="明显参考21"/>
    <w:qFormat/>
    <w:uiPriority w:val="0"/>
    <w:rPr>
      <w:b/>
      <w:bCs/>
      <w:smallCaps/>
      <w:color w:val="auto"/>
      <w:spacing w:val="5"/>
      <w:u w:val="single"/>
    </w:rPr>
  </w:style>
  <w:style w:type="character" w:customStyle="1" w:styleId="249">
    <w:name w:val="不明显强调21"/>
    <w:qFormat/>
    <w:uiPriority w:val="0"/>
    <w:rPr>
      <w:i/>
      <w:iCs/>
      <w:color w:val="808080"/>
    </w:rPr>
  </w:style>
  <w:style w:type="character" w:customStyle="1" w:styleId="250">
    <w:name w:val="Char Char61"/>
    <w:qFormat/>
    <w:uiPriority w:val="0"/>
    <w:rPr>
      <w:rFonts w:ascii="宋体" w:hAnsi="Courier New" w:eastAsia="宋体" w:cs="Courier New"/>
      <w:kern w:val="2"/>
      <w:sz w:val="21"/>
      <w:szCs w:val="21"/>
      <w:lang w:val="en-US" w:eastAsia="zh-CN" w:bidi="ar-SA"/>
    </w:rPr>
  </w:style>
  <w:style w:type="character" w:customStyle="1" w:styleId="251">
    <w:name w:val="Char Char1"/>
    <w:qFormat/>
    <w:uiPriority w:val="0"/>
    <w:rPr>
      <w:rFonts w:eastAsia="仿宋_GB2312"/>
      <w:b/>
      <w:bCs/>
      <w:kern w:val="2"/>
      <w:sz w:val="24"/>
      <w:szCs w:val="32"/>
      <w:lang w:val="en-US" w:eastAsia="zh-CN" w:bidi="ar-SA"/>
    </w:rPr>
  </w:style>
  <w:style w:type="character" w:customStyle="1" w:styleId="252">
    <w:name w:val="明显强调21"/>
    <w:qFormat/>
    <w:uiPriority w:val="0"/>
    <w:rPr>
      <w:b/>
      <w:bCs/>
      <w:i/>
      <w:iCs/>
      <w:color w:val="4F81BD"/>
    </w:rPr>
  </w:style>
  <w:style w:type="character" w:customStyle="1" w:styleId="253">
    <w:name w:val="xiadan"/>
    <w:basedOn w:val="47"/>
    <w:qFormat/>
    <w:uiPriority w:val="0"/>
    <w:rPr>
      <w:shd w:val="clear" w:color="auto" w:fill="E4393C"/>
    </w:rPr>
  </w:style>
  <w:style w:type="character" w:customStyle="1" w:styleId="254">
    <w:name w:val="Char Char111"/>
    <w:qFormat/>
    <w:uiPriority w:val="0"/>
    <w:rPr>
      <w:rFonts w:eastAsia="宋体"/>
      <w:b/>
      <w:bCs/>
      <w:kern w:val="2"/>
      <w:sz w:val="32"/>
      <w:szCs w:val="32"/>
      <w:lang w:val="en-US" w:eastAsia="zh-CN" w:bidi="ar-SA"/>
    </w:rPr>
  </w:style>
  <w:style w:type="character" w:customStyle="1" w:styleId="255">
    <w:name w:val="不明显参考21"/>
    <w:qFormat/>
    <w:uiPriority w:val="0"/>
    <w:rPr>
      <w:smallCaps/>
      <w:color w:val="auto"/>
      <w:u w:val="single"/>
    </w:rPr>
  </w:style>
  <w:style w:type="character" w:customStyle="1" w:styleId="256">
    <w:name w:val="Char Char141"/>
    <w:qFormat/>
    <w:locked/>
    <w:uiPriority w:val="0"/>
    <w:rPr>
      <w:b/>
      <w:bCs/>
      <w:kern w:val="2"/>
      <w:sz w:val="28"/>
      <w:szCs w:val="28"/>
    </w:rPr>
  </w:style>
  <w:style w:type="character" w:customStyle="1" w:styleId="257">
    <w:name w:val="Char Char171"/>
    <w:qFormat/>
    <w:locked/>
    <w:uiPriority w:val="0"/>
    <w:rPr>
      <w:rFonts w:ascii="Cambria" w:hAnsi="Cambria" w:eastAsia="宋体" w:cs="Cambria"/>
      <w:b/>
      <w:bCs/>
      <w:kern w:val="2"/>
      <w:sz w:val="32"/>
      <w:szCs w:val="32"/>
    </w:rPr>
  </w:style>
  <w:style w:type="character" w:customStyle="1" w:styleId="258">
    <w:name w:val="fr"/>
    <w:basedOn w:val="47"/>
    <w:qFormat/>
    <w:uiPriority w:val="0"/>
  </w:style>
  <w:style w:type="character" w:customStyle="1" w:styleId="259">
    <w:name w:val="icon_ds"/>
    <w:basedOn w:val="47"/>
    <w:qFormat/>
    <w:uiPriority w:val="0"/>
    <w:rPr>
      <w:sz w:val="16"/>
      <w:szCs w:val="16"/>
    </w:rPr>
  </w:style>
  <w:style w:type="character" w:customStyle="1" w:styleId="260">
    <w:name w:val="icon_gys"/>
    <w:basedOn w:val="47"/>
    <w:qFormat/>
    <w:uiPriority w:val="0"/>
    <w:rPr>
      <w:sz w:val="16"/>
      <w:szCs w:val="16"/>
    </w:rPr>
  </w:style>
  <w:style w:type="character" w:customStyle="1" w:styleId="261">
    <w:name w:val="Char Char22"/>
    <w:qFormat/>
    <w:uiPriority w:val="0"/>
    <w:rPr>
      <w:rFonts w:ascii="Arial" w:hAnsi="Arial" w:eastAsia="黑体"/>
      <w:b/>
      <w:bCs/>
      <w:kern w:val="2"/>
      <w:sz w:val="32"/>
      <w:szCs w:val="32"/>
      <w:lang w:val="en-US" w:eastAsia="zh-CN" w:bidi="ar-SA"/>
    </w:rPr>
  </w:style>
  <w:style w:type="character" w:customStyle="1" w:styleId="262">
    <w:name w:val="Char Char161"/>
    <w:qFormat/>
    <w:locked/>
    <w:uiPriority w:val="0"/>
    <w:rPr>
      <w:b/>
      <w:bCs/>
      <w:kern w:val="2"/>
      <w:sz w:val="32"/>
      <w:szCs w:val="32"/>
    </w:rPr>
  </w:style>
  <w:style w:type="character" w:customStyle="1" w:styleId="263">
    <w:name w:val="Char Char121"/>
    <w:qFormat/>
    <w:uiPriority w:val="0"/>
    <w:rPr>
      <w:rFonts w:ascii="Arial" w:hAnsi="Arial" w:eastAsia="黑体"/>
      <w:b/>
      <w:kern w:val="2"/>
      <w:sz w:val="32"/>
      <w:lang w:val="en-US" w:eastAsia="zh-CN" w:bidi="ar-SA"/>
    </w:rPr>
  </w:style>
  <w:style w:type="character" w:customStyle="1" w:styleId="264">
    <w:name w:val="Char Char181"/>
    <w:qFormat/>
    <w:locked/>
    <w:uiPriority w:val="0"/>
    <w:rPr>
      <w:b/>
      <w:bCs/>
      <w:kern w:val="44"/>
      <w:sz w:val="44"/>
      <w:szCs w:val="44"/>
    </w:rPr>
  </w:style>
  <w:style w:type="character" w:customStyle="1" w:styleId="265">
    <w:name w:val="书籍标题21"/>
    <w:qFormat/>
    <w:uiPriority w:val="0"/>
    <w:rPr>
      <w:b/>
      <w:bCs/>
      <w:smallCaps/>
      <w:spacing w:val="5"/>
    </w:rPr>
  </w:style>
  <w:style w:type="character" w:customStyle="1" w:styleId="266">
    <w:name w:val="正文缩进 Char"/>
    <w:qFormat/>
    <w:locked/>
    <w:uiPriority w:val="0"/>
    <w:rPr>
      <w:sz w:val="24"/>
    </w:rPr>
  </w:style>
  <w:style w:type="character" w:customStyle="1" w:styleId="267">
    <w:name w:val="icon_ds1"/>
    <w:basedOn w:val="47"/>
    <w:qFormat/>
    <w:uiPriority w:val="0"/>
  </w:style>
  <w:style w:type="character" w:customStyle="1" w:styleId="268">
    <w:name w:val="Char Char71"/>
    <w:qFormat/>
    <w:uiPriority w:val="0"/>
    <w:rPr>
      <w:sz w:val="21"/>
      <w:lang w:bidi="ar-SA"/>
    </w:rPr>
  </w:style>
  <w:style w:type="character" w:customStyle="1" w:styleId="269">
    <w:name w:val="Char Char151"/>
    <w:qFormat/>
    <w:locked/>
    <w:uiPriority w:val="0"/>
    <w:rPr>
      <w:rFonts w:ascii="Cambria" w:hAnsi="Cambria" w:eastAsia="宋体" w:cs="Cambria"/>
      <w:b/>
      <w:bCs/>
      <w:kern w:val="2"/>
      <w:sz w:val="28"/>
      <w:szCs w:val="28"/>
    </w:rPr>
  </w:style>
  <w:style w:type="paragraph" w:customStyle="1" w:styleId="270">
    <w:name w:val="Char Char10 Char1"/>
    <w:basedOn w:val="1"/>
    <w:qFormat/>
    <w:uiPriority w:val="0"/>
    <w:rPr>
      <w:rFonts w:ascii="Times New Roman" w:hAnsi="Times New Roman" w:eastAsia="宋体" w:cs="Times New Roman"/>
      <w:szCs w:val="24"/>
    </w:rPr>
  </w:style>
  <w:style w:type="paragraph" w:customStyle="1" w:styleId="271">
    <w:name w:val="明显引用2"/>
    <w:basedOn w:val="1"/>
    <w:next w:val="1"/>
    <w:qFormat/>
    <w:uiPriority w:val="0"/>
    <w:pPr>
      <w:pBdr>
        <w:bottom w:val="single" w:color="4F81BD" w:sz="4" w:space="4"/>
      </w:pBdr>
      <w:spacing w:before="200" w:after="280"/>
      <w:ind w:left="936" w:right="936"/>
    </w:pPr>
    <w:rPr>
      <w:rFonts w:ascii="Calibri" w:hAnsi="Calibri" w:eastAsia="宋体" w:cs="Times New Roman"/>
      <w:b/>
      <w:bCs/>
      <w:i/>
      <w:iCs/>
      <w:color w:val="4F81BD"/>
      <w:sz w:val="22"/>
    </w:rPr>
  </w:style>
  <w:style w:type="paragraph" w:customStyle="1" w:styleId="272">
    <w:name w:val="修订21"/>
    <w:qFormat/>
    <w:uiPriority w:val="0"/>
    <w:rPr>
      <w:rFonts w:ascii="Times New Roman" w:hAnsi="Times New Roman" w:eastAsia="宋体" w:cs="Times New Roman"/>
      <w:kern w:val="2"/>
      <w:sz w:val="21"/>
      <w:szCs w:val="21"/>
      <w:lang w:val="en-US" w:eastAsia="zh-CN" w:bidi="ar-SA"/>
    </w:rPr>
  </w:style>
  <w:style w:type="paragraph" w:customStyle="1" w:styleId="273">
    <w:name w:val="引用2"/>
    <w:basedOn w:val="1"/>
    <w:next w:val="1"/>
    <w:qFormat/>
    <w:uiPriority w:val="0"/>
    <w:rPr>
      <w:rFonts w:ascii="Calibri" w:hAnsi="Calibri" w:eastAsia="宋体" w:cs="Times New Roman"/>
      <w:i/>
      <w:iCs/>
      <w:color w:val="000000"/>
      <w:sz w:val="22"/>
    </w:rPr>
  </w:style>
  <w:style w:type="paragraph" w:customStyle="1" w:styleId="274">
    <w:name w:val="Char Char Char Char1"/>
    <w:basedOn w:val="1"/>
    <w:qFormat/>
    <w:uiPriority w:val="0"/>
    <w:rPr>
      <w:rFonts w:ascii="Tahoma" w:hAnsi="Tahoma" w:eastAsia="宋体" w:cs="Times New Roman"/>
      <w:sz w:val="24"/>
      <w:szCs w:val="20"/>
    </w:rPr>
  </w:style>
  <w:style w:type="paragraph" w:customStyle="1" w:styleId="275">
    <w:name w:val="正文文本缩进2"/>
    <w:basedOn w:val="1"/>
    <w:qFormat/>
    <w:uiPriority w:val="0"/>
    <w:pPr>
      <w:snapToGrid w:val="0"/>
      <w:spacing w:after="120" w:line="360" w:lineRule="auto"/>
      <w:ind w:left="420" w:leftChars="200" w:firstLine="560" w:firstLineChars="200"/>
      <w:jc w:val="left"/>
    </w:pPr>
    <w:rPr>
      <w:rFonts w:ascii="仿宋" w:hAnsi="仿宋" w:eastAsia="仿宋" w:cs="仿宋"/>
      <w:color w:val="000000"/>
      <w:szCs w:val="28"/>
    </w:rPr>
  </w:style>
  <w:style w:type="paragraph" w:customStyle="1" w:styleId="276">
    <w:name w:val="列表段落1"/>
    <w:basedOn w:val="1"/>
    <w:qFormat/>
    <w:uiPriority w:val="0"/>
    <w:pPr>
      <w:spacing w:line="360" w:lineRule="auto"/>
      <w:ind w:left="200" w:leftChars="200" w:firstLine="420" w:firstLineChars="200"/>
      <w:jc w:val="left"/>
    </w:pPr>
    <w:rPr>
      <w:rFonts w:ascii="Times New Roman" w:hAnsi="Times New Roman" w:eastAsia="宋体" w:cs="Times New Roman"/>
      <w:sz w:val="24"/>
    </w:rPr>
  </w:style>
  <w:style w:type="paragraph" w:customStyle="1" w:styleId="277">
    <w:name w:val="列出段落2"/>
    <w:basedOn w:val="1"/>
    <w:qFormat/>
    <w:uiPriority w:val="0"/>
    <w:pPr>
      <w:ind w:firstLine="420" w:firstLineChars="200"/>
    </w:pPr>
    <w:rPr>
      <w:rFonts w:ascii="Calibri" w:hAnsi="Calibri" w:eastAsia="宋体" w:cs="Times New Roman"/>
      <w:szCs w:val="20"/>
    </w:rPr>
  </w:style>
  <w:style w:type="paragraph" w:customStyle="1" w:styleId="278">
    <w:name w:val="2"/>
    <w:next w:val="1"/>
    <w:qFormat/>
    <w:uiPriority w:val="0"/>
    <w:pPr>
      <w:widowControl w:val="0"/>
      <w:jc w:val="both"/>
    </w:pPr>
    <w:rPr>
      <w:rFonts w:ascii="Times New Roman" w:hAnsi="Times New Roman" w:eastAsia="宋体" w:cs="Times New Roman"/>
      <w:sz w:val="21"/>
      <w:szCs w:val="22"/>
      <w:lang w:val="en-US" w:eastAsia="zh-CN" w:bidi="ar-SA"/>
    </w:rPr>
  </w:style>
  <w:style w:type="paragraph" w:customStyle="1" w:styleId="279">
    <w:name w:val="style4"/>
    <w:basedOn w:val="1"/>
    <w:next w:val="278"/>
    <w:qFormat/>
    <w:uiPriority w:val="0"/>
    <w:pPr>
      <w:widowControl/>
      <w:spacing w:before="280" w:after="280"/>
    </w:pPr>
    <w:rPr>
      <w:rFonts w:ascii="宋体" w:hAnsi="Times New Roman" w:eastAsia="宋体" w:cs="Times New Roman"/>
      <w:sz w:val="18"/>
      <w:szCs w:val="24"/>
    </w:rPr>
  </w:style>
  <w:style w:type="paragraph" w:customStyle="1" w:styleId="280">
    <w:name w:val="TOC 标题3"/>
    <w:basedOn w:val="3"/>
    <w:next w:val="1"/>
    <w:qFormat/>
    <w:uiPriority w:val="0"/>
    <w:pPr>
      <w:spacing w:line="576" w:lineRule="auto"/>
      <w:outlineLvl w:val="9"/>
    </w:pPr>
    <w:rPr>
      <w:rFonts w:ascii="Calibri" w:hAnsi="Calibri" w:eastAsia="宋体" w:cs="Calibri"/>
      <w:sz w:val="32"/>
    </w:rPr>
  </w:style>
  <w:style w:type="paragraph" w:customStyle="1" w:styleId="281">
    <w:name w:val="Char3"/>
    <w:basedOn w:val="1"/>
    <w:qFormat/>
    <w:uiPriority w:val="0"/>
    <w:pPr>
      <w:ind w:left="567" w:hanging="283"/>
    </w:pPr>
    <w:rPr>
      <w:rFonts w:ascii="宋体" w:hAnsi="宋体" w:eastAsia="宋体" w:cs="Times New Roman"/>
      <w:sz w:val="28"/>
      <w:szCs w:val="24"/>
    </w:rPr>
  </w:style>
  <w:style w:type="paragraph" w:customStyle="1" w:styleId="282">
    <w:name w:val="Char41"/>
    <w:basedOn w:val="1"/>
    <w:qFormat/>
    <w:uiPriority w:val="0"/>
    <w:rPr>
      <w:rFonts w:ascii="Times New Roman" w:hAnsi="Times New Roman" w:eastAsia="宋体" w:cs="Times New Roman"/>
      <w:szCs w:val="24"/>
    </w:rPr>
  </w:style>
  <w:style w:type="paragraph" w:customStyle="1" w:styleId="283">
    <w:name w:val="无间隔2"/>
    <w:qFormat/>
    <w:uiPriority w:val="0"/>
    <w:pPr>
      <w:widowControl w:val="0"/>
      <w:jc w:val="both"/>
    </w:pPr>
    <w:rPr>
      <w:rFonts w:ascii="Times New Roman" w:hAnsi="Times New Roman" w:eastAsia="宋体" w:cs="Calibri"/>
      <w:kern w:val="2"/>
      <w:sz w:val="21"/>
      <w:szCs w:val="21"/>
      <w:lang w:val="en-US" w:eastAsia="zh-CN" w:bidi="ar-SA"/>
    </w:rPr>
  </w:style>
  <w:style w:type="paragraph" w:customStyle="1" w:styleId="284">
    <w:name w:val="UserStyle_0"/>
    <w:qFormat/>
    <w:uiPriority w:val="0"/>
    <w:pPr>
      <w:spacing w:after="200" w:line="276" w:lineRule="auto"/>
      <w:jc w:val="both"/>
      <w:textAlignment w:val="baseline"/>
    </w:pPr>
    <w:rPr>
      <w:rFonts w:ascii="Times New Roman" w:hAnsi="Times New Roman" w:eastAsia="宋体" w:cstheme="minorBidi"/>
      <w:kern w:val="2"/>
      <w:sz w:val="21"/>
      <w:szCs w:val="21"/>
      <w:lang w:val="en-US" w:eastAsia="zh-CN" w:bidi="ar-SA"/>
    </w:rPr>
  </w:style>
  <w:style w:type="character" w:customStyle="1" w:styleId="285">
    <w:name w:val="NormalCharacter"/>
    <w:semiHidden/>
    <w:qFormat/>
    <w:uiPriority w:val="0"/>
    <w:rPr>
      <w:rFonts w:ascii="宋体" w:hAnsi="宋体" w:eastAsia="宋体" w:cstheme="minorBidi"/>
      <w:color w:val="000000"/>
      <w:kern w:val="2"/>
      <w:sz w:val="28"/>
      <w:szCs w:val="28"/>
      <w:lang w:val="en-US" w:eastAsia="zh-CN" w:bidi="ar-SA"/>
    </w:rPr>
  </w:style>
  <w:style w:type="paragraph" w:customStyle="1" w:styleId="286">
    <w:name w:val="BodyText"/>
    <w:basedOn w:val="1"/>
    <w:next w:val="1"/>
    <w:qFormat/>
    <w:uiPriority w:val="0"/>
    <w:pPr>
      <w:widowControl/>
      <w:spacing w:after="120" w:line="276" w:lineRule="auto"/>
      <w:textAlignment w:val="baseline"/>
    </w:pPr>
    <w:rPr>
      <w:rFonts w:ascii="宋体" w:hAnsi="宋体" w:eastAsia="宋体"/>
      <w:color w:val="000000"/>
      <w:sz w:val="28"/>
      <w:szCs w:val="28"/>
    </w:rPr>
  </w:style>
  <w:style w:type="character" w:customStyle="1" w:styleId="287">
    <w:name w:val="未处理的提及2"/>
    <w:basedOn w:val="47"/>
    <w:semiHidden/>
    <w:unhideWhenUsed/>
    <w:qFormat/>
    <w:uiPriority w:val="99"/>
    <w:rPr>
      <w:color w:val="605E5C"/>
      <w:shd w:val="clear" w:color="auto" w:fill="E1DFDD"/>
    </w:rPr>
  </w:style>
  <w:style w:type="paragraph" w:customStyle="1" w:styleId="288">
    <w:name w:val="标题2"/>
    <w:basedOn w:val="1"/>
    <w:qFormat/>
    <w:uiPriority w:val="0"/>
    <w:pPr>
      <w:widowControl/>
      <w:spacing w:line="360" w:lineRule="auto"/>
      <w:jc w:val="left"/>
      <w:outlineLvl w:val="1"/>
    </w:pPr>
    <w:rPr>
      <w:rFonts w:ascii="Calibri" w:hAnsi="Calibri" w:eastAsia="黑体"/>
      <w:b/>
      <w:kern w:val="0"/>
      <w:sz w:val="28"/>
      <w:lang w:eastAsia="en-US" w:bidi="en-US"/>
    </w:rPr>
  </w:style>
  <w:style w:type="paragraph" w:customStyle="1" w:styleId="289">
    <w:name w:val="表格正文"/>
    <w:basedOn w:val="1"/>
    <w:qFormat/>
    <w:uiPriority w:val="0"/>
    <w:pPr>
      <w:autoSpaceDE w:val="0"/>
      <w:autoSpaceDN w:val="0"/>
      <w:adjustRightInd w:val="0"/>
      <w:spacing w:line="300" w:lineRule="auto"/>
    </w:pPr>
    <w:rPr>
      <w:rFonts w:ascii="宋体" w:hAnsi="宋体"/>
      <w:color w:val="000000"/>
      <w:kern w:val="0"/>
      <w:sz w:val="24"/>
      <w:szCs w:val="21"/>
    </w:rPr>
  </w:style>
  <w:style w:type="paragraph" w:customStyle="1" w:styleId="290">
    <w:name w:val="表内字"/>
    <w:basedOn w:val="1"/>
    <w:qFormat/>
    <w:uiPriority w:val="0"/>
    <w:pPr>
      <w:topLinePunct/>
      <w:adjustRightInd w:val="0"/>
      <w:textAlignment w:val="baseline"/>
    </w:pPr>
    <w:rPr>
      <w:rFonts w:ascii="Calibri" w:hAnsi="Calibri" w:eastAsia="宋体" w:cs="Times New Roman"/>
      <w:snapToGrid w:val="0"/>
      <w:kern w:val="0"/>
      <w:szCs w:val="22"/>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2.wmf"/><Relationship Id="rId7" Type="http://schemas.openxmlformats.org/officeDocument/2006/relationships/oleObject" Target="embeddings/oleObject1.bin"/><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4B9FA36-80D4-4066-A8D9-6C1803BC4CE1}">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Pages>
  <Words>5095</Words>
  <Characters>29048</Characters>
  <Lines>242</Lines>
  <Paragraphs>68</Paragraphs>
  <TotalTime>17</TotalTime>
  <ScaleCrop>false</ScaleCrop>
  <LinksUpToDate>false</LinksUpToDate>
  <CharactersWithSpaces>34075</CharactersWithSpaces>
  <Application>WPS Office_11.1.0.9912_F1E327BC-269C-435d-A152-05C5408002CA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2020-01-13T08:52:00Z</dcterms:created>
  <dc:creator>NTKO</dc:creator>
  <cp:lastModifiedBy>Administrator</cp:lastModifiedBy>
  <cp:lastPrinted>2020-06-17T07:13:00Z</cp:lastPrinted>
  <dcterms:modified xsi:type="dcterms:W3CDTF">2020-08-20T07:56:38Z</dcterms:modified>
  <dc:title>郑州市盲聋哑学校智能聋生手语翻译显示设备采购项目                      招标文件</dc:title>
  <cp:revision>238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ies>
</file>